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</w:rPr>
      </w:pPr>
    </w:p>
    <w:p>
      <w:pPr>
        <w:rPr>
          <w:sz w:val="28"/>
        </w:rPr>
      </w:pPr>
    </w:p>
    <w:p>
      <w:pPr>
        <w:spacing w:line="240" w:lineRule="auto"/>
        <w:jc w:val="center"/>
        <w:rPr>
          <w:color w:val="0072C6" w:themeColor="accent1"/>
          <w:sz w:val="96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0072C6" w:themeColor="accent1"/>
          <w:sz w:val="96"/>
          <w14:textFill>
            <w14:solidFill>
              <w14:schemeClr w14:val="accent1"/>
            </w14:solidFill>
          </w14:textFill>
        </w:rPr>
        <w:t>扬子江药业集团</w:t>
      </w:r>
    </w:p>
    <w:p>
      <w:pPr>
        <w:spacing w:line="240" w:lineRule="auto"/>
        <w:jc w:val="center"/>
        <w:rPr>
          <w:color w:val="0072C6" w:themeColor="accent1"/>
          <w:sz w:val="96"/>
          <w14:textFill>
            <w14:solidFill>
              <w14:schemeClr w14:val="accent1"/>
            </w14:solidFill>
          </w14:textFill>
        </w:rPr>
      </w:pPr>
    </w:p>
    <w:p>
      <w:pPr>
        <w:spacing w:line="240" w:lineRule="auto"/>
        <w:jc w:val="center"/>
        <w:rPr>
          <w:color w:val="0072C6" w:themeColor="accent1"/>
          <w:sz w:val="96"/>
          <w14:textFill>
            <w14:solidFill>
              <w14:schemeClr w14:val="accent1"/>
            </w14:solidFill>
          </w14:textFill>
        </w:rPr>
      </w:pPr>
    </w:p>
    <w:p>
      <w:pPr>
        <w:spacing w:line="240" w:lineRule="auto"/>
        <w:jc w:val="center"/>
        <w:rPr>
          <w:color w:val="0072C6" w:themeColor="accent1"/>
          <w:sz w:val="96"/>
          <w14:textFill>
            <w14:solidFill>
              <w14:schemeClr w14:val="accent1"/>
            </w14:solidFill>
          </w14:textFill>
        </w:rPr>
      </w:pPr>
    </w:p>
    <w:p>
      <w:pPr>
        <w:spacing w:line="240" w:lineRule="auto"/>
        <w:jc w:val="center"/>
        <w:rPr>
          <w:color w:val="0072C6" w:themeColor="accent1"/>
          <w:sz w:val="56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0072C6" w:themeColor="accent1"/>
          <w:sz w:val="56"/>
          <w14:textFill>
            <w14:solidFill>
              <w14:schemeClr w14:val="accent1"/>
            </w14:solidFill>
          </w14:textFill>
        </w:rPr>
        <w:t>S</w:t>
      </w:r>
      <w:r>
        <w:rPr>
          <w:color w:val="0072C6" w:themeColor="accent1"/>
          <w:sz w:val="56"/>
          <w14:textFill>
            <w14:solidFill>
              <w14:schemeClr w14:val="accent1"/>
            </w14:solidFill>
          </w14:textFill>
        </w:rPr>
        <w:t>RM</w:t>
      </w:r>
      <w:r>
        <w:rPr>
          <w:rFonts w:hint="eastAsia"/>
          <w:color w:val="0072C6" w:themeColor="accent1"/>
          <w:sz w:val="56"/>
          <w14:textFill>
            <w14:solidFill>
              <w14:schemeClr w14:val="accent1"/>
            </w14:solidFill>
          </w14:textFill>
        </w:rPr>
        <w:t>供应商关系管理系统</w:t>
      </w:r>
    </w:p>
    <w:p>
      <w:pPr>
        <w:spacing w:line="240" w:lineRule="auto"/>
        <w:jc w:val="center"/>
        <w:rPr>
          <w:rFonts w:hint="eastAsia" w:eastAsia="微软雅黑"/>
          <w:color w:val="0072C6" w:themeColor="accent1"/>
          <w:sz w:val="56"/>
          <w:lang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0072C6" w:themeColor="accent1"/>
          <w:sz w:val="56"/>
          <w14:textFill>
            <w14:solidFill>
              <w14:schemeClr w14:val="accent1"/>
            </w14:solidFill>
          </w14:textFill>
        </w:rPr>
        <w:t>供应商使用手册</w:t>
      </w:r>
      <w:r>
        <w:rPr>
          <w:rFonts w:hint="eastAsia"/>
          <w:color w:val="0072C6" w:themeColor="accent1"/>
          <w:sz w:val="56"/>
          <w:lang w:eastAsia="zh-CN"/>
          <w14:textFill>
            <w14:solidFill>
              <w14:schemeClr w14:val="accent1"/>
            </w14:solidFill>
          </w14:textFill>
        </w:rPr>
        <w:t>（</w:t>
      </w:r>
      <w:r>
        <w:rPr>
          <w:rFonts w:hint="eastAsia"/>
          <w:color w:val="0072C6" w:themeColor="accent1"/>
          <w:sz w:val="56"/>
          <w:lang w:val="en-US" w:eastAsia="zh-CN"/>
          <w14:textFill>
            <w14:solidFill>
              <w14:schemeClr w14:val="accent1"/>
            </w14:solidFill>
          </w14:textFill>
        </w:rPr>
        <w:t>版本1.0</w:t>
      </w:r>
      <w:r>
        <w:rPr>
          <w:rFonts w:hint="eastAsia"/>
          <w:color w:val="0072C6" w:themeColor="accent1"/>
          <w:sz w:val="56"/>
          <w:lang w:eastAsia="zh-CN"/>
          <w14:textFill>
            <w14:solidFill>
              <w14:schemeClr w14:val="accent1"/>
            </w14:solidFill>
          </w14:textFill>
        </w:rPr>
        <w:t>）</w:t>
      </w:r>
      <w:bookmarkStart w:id="21" w:name="_GoBack"/>
      <w:bookmarkEnd w:id="21"/>
    </w:p>
    <w:p>
      <w:r>
        <w:br w:type="page"/>
      </w:r>
    </w:p>
    <w:sdt>
      <w:sdtPr>
        <w:rPr>
          <w:lang w:val="zh-CN"/>
        </w:rPr>
        <w:id w:val="1436328875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spacing w:after="0" w:line="240" w:lineRule="auto"/>
            <w:jc w:val="center"/>
            <w:rPr>
              <w:color w:val="0072C6" w:themeColor="accent1"/>
              <w:sz w:val="44"/>
              <w14:textFill>
                <w14:solidFill>
                  <w14:schemeClr w14:val="accent1"/>
                </w14:solidFill>
              </w14:textFill>
            </w:rPr>
          </w:pPr>
          <w:r>
            <w:rPr>
              <w:color w:val="0072C6" w:themeColor="accent1"/>
              <w:sz w:val="44"/>
              <w:lang w:val="zh-CN"/>
              <w14:textFill>
                <w14:solidFill>
                  <w14:schemeClr w14:val="accent1"/>
                </w14:solidFill>
              </w14:textFill>
            </w:rPr>
            <w:t>目</w:t>
          </w:r>
          <w:r>
            <w:rPr>
              <w:rFonts w:hint="eastAsia"/>
              <w:color w:val="0072C6" w:themeColor="accent1"/>
              <w:sz w:val="44"/>
              <w:lang w:val="zh-CN"/>
              <w14:textFill>
                <w14:solidFill>
                  <w14:schemeClr w14:val="accent1"/>
                </w14:solidFill>
              </w14:textFill>
            </w:rPr>
            <w:t xml:space="preserve"> </w:t>
          </w:r>
          <w:r>
            <w:rPr>
              <w:color w:val="0072C6" w:themeColor="accent1"/>
              <w:sz w:val="44"/>
              <w:lang w:val="zh-CN"/>
              <w14:textFill>
                <w14:solidFill>
                  <w14:schemeClr w14:val="accent1"/>
                </w14:solidFill>
              </w14:textFill>
            </w:rPr>
            <w:t xml:space="preserve"> 录</w:t>
          </w:r>
        </w:p>
        <w:p>
          <w:pPr>
            <w:pStyle w:val="24"/>
            <w:tabs>
              <w:tab w:val="left" w:pos="420"/>
              <w:tab w:val="right" w:leader="dot" w:pos="9881"/>
            </w:tabs>
            <w:spacing w:after="0" w:line="240" w:lineRule="auto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"_Toc1756150" </w:instrText>
          </w:r>
          <w:r>
            <w:fldChar w:fldCharType="separate"/>
          </w:r>
          <w:r>
            <w:rPr>
              <w:rStyle w:val="38"/>
            </w:rPr>
            <w:t>1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供应商登陆系统</w:t>
          </w:r>
          <w:r>
            <w:tab/>
          </w:r>
          <w:r>
            <w:fldChar w:fldCharType="begin"/>
          </w:r>
          <w:r>
            <w:instrText xml:space="preserve"> PAGEREF _Toc1756150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left" w:pos="1050"/>
              <w:tab w:val="right" w:leader="dot" w:pos="9881"/>
            </w:tabs>
            <w:spacing w:after="0" w:line="240" w:lineRule="auto"/>
            <w:ind w:left="480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"_Toc1756151" </w:instrText>
          </w:r>
          <w:r>
            <w:fldChar w:fldCharType="separate"/>
          </w:r>
          <w:r>
            <w:rPr>
              <w:rStyle w:val="38"/>
            </w:rPr>
            <w:t>1.1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登录地址</w:t>
          </w:r>
          <w:r>
            <w:tab/>
          </w:r>
          <w:r>
            <w:fldChar w:fldCharType="begin"/>
          </w:r>
          <w:r>
            <w:instrText xml:space="preserve"> PAGEREF _Toc1756151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left" w:pos="1050"/>
              <w:tab w:val="right" w:leader="dot" w:pos="9881"/>
            </w:tabs>
            <w:spacing w:after="0" w:line="240" w:lineRule="auto"/>
            <w:ind w:left="480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"_Toc1756152" </w:instrText>
          </w:r>
          <w:r>
            <w:fldChar w:fldCharType="separate"/>
          </w:r>
          <w:r>
            <w:rPr>
              <w:rStyle w:val="38"/>
            </w:rPr>
            <w:t>1.2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已合作供应商登陆</w:t>
          </w:r>
          <w:r>
            <w:tab/>
          </w:r>
          <w:r>
            <w:fldChar w:fldCharType="begin"/>
          </w:r>
          <w:r>
            <w:instrText xml:space="preserve"> PAGEREF _Toc1756152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left" w:pos="1050"/>
              <w:tab w:val="right" w:leader="dot" w:pos="9881"/>
            </w:tabs>
            <w:spacing w:after="0" w:line="240" w:lineRule="auto"/>
            <w:ind w:left="480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"_Toc1756153" </w:instrText>
          </w:r>
          <w:r>
            <w:fldChar w:fldCharType="separate"/>
          </w:r>
          <w:r>
            <w:rPr>
              <w:rStyle w:val="38"/>
            </w:rPr>
            <w:t>1.3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未合作供应商首次注册</w:t>
          </w:r>
          <w:r>
            <w:tab/>
          </w:r>
          <w:r>
            <w:fldChar w:fldCharType="begin"/>
          </w:r>
          <w:r>
            <w:instrText xml:space="preserve"> PAGEREF _Toc1756153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left" w:pos="420"/>
              <w:tab w:val="right" w:leader="dot" w:pos="9881"/>
            </w:tabs>
            <w:spacing w:after="0" w:line="240" w:lineRule="auto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"_Toc1756154" </w:instrText>
          </w:r>
          <w:r>
            <w:fldChar w:fldCharType="separate"/>
          </w:r>
          <w:r>
            <w:rPr>
              <w:rStyle w:val="38"/>
            </w:rPr>
            <w:t>2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首次合作供应商准入</w:t>
          </w:r>
          <w:r>
            <w:tab/>
          </w:r>
          <w:r>
            <w:fldChar w:fldCharType="begin"/>
          </w:r>
          <w:r>
            <w:instrText xml:space="preserve"> PAGEREF _Toc1756154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left" w:pos="420"/>
              <w:tab w:val="right" w:leader="dot" w:pos="9881"/>
            </w:tabs>
            <w:spacing w:after="0" w:line="240" w:lineRule="auto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"_Toc1756155" </w:instrText>
          </w:r>
          <w:r>
            <w:fldChar w:fldCharType="separate"/>
          </w:r>
          <w:r>
            <w:rPr>
              <w:rStyle w:val="38"/>
            </w:rPr>
            <w:t>3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供应商报价</w:t>
          </w:r>
          <w:r>
            <w:tab/>
          </w:r>
          <w:r>
            <w:fldChar w:fldCharType="begin"/>
          </w:r>
          <w:r>
            <w:instrText xml:space="preserve"> PAGEREF _Toc1756155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left" w:pos="1050"/>
              <w:tab w:val="right" w:leader="dot" w:pos="9881"/>
            </w:tabs>
            <w:spacing w:after="0" w:line="240" w:lineRule="auto"/>
            <w:ind w:left="480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"_Toc1756156" </w:instrText>
          </w:r>
          <w:r>
            <w:fldChar w:fldCharType="separate"/>
          </w:r>
          <w:r>
            <w:rPr>
              <w:rStyle w:val="38"/>
            </w:rPr>
            <w:t>3.1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报价</w:t>
          </w:r>
          <w:r>
            <w:tab/>
          </w:r>
          <w:r>
            <w:fldChar w:fldCharType="begin"/>
          </w:r>
          <w:r>
            <w:instrText xml:space="preserve"> PAGEREF _Toc1756156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left" w:pos="1050"/>
              <w:tab w:val="right" w:leader="dot" w:pos="9881"/>
            </w:tabs>
            <w:spacing w:after="0" w:line="240" w:lineRule="auto"/>
            <w:ind w:left="480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"_Toc1756157" </w:instrText>
          </w:r>
          <w:r>
            <w:fldChar w:fldCharType="separate"/>
          </w:r>
          <w:r>
            <w:rPr>
              <w:rStyle w:val="38"/>
            </w:rPr>
            <w:t>3.2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议价</w:t>
          </w:r>
          <w:r>
            <w:tab/>
          </w:r>
          <w:r>
            <w:fldChar w:fldCharType="begin"/>
          </w:r>
          <w:r>
            <w:instrText xml:space="preserve"> PAGEREF _Toc1756157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left" w:pos="420"/>
              <w:tab w:val="right" w:leader="dot" w:pos="9881"/>
            </w:tabs>
            <w:spacing w:after="0" w:line="240" w:lineRule="auto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"_Toc1756158" </w:instrText>
          </w:r>
          <w:r>
            <w:fldChar w:fldCharType="separate"/>
          </w:r>
          <w:r>
            <w:rPr>
              <w:rStyle w:val="38"/>
            </w:rPr>
            <w:t>4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订单</w:t>
          </w:r>
          <w:r>
            <w:tab/>
          </w:r>
          <w:r>
            <w:fldChar w:fldCharType="begin"/>
          </w:r>
          <w:r>
            <w:instrText xml:space="preserve"> PAGEREF _Toc1756158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left" w:pos="1050"/>
              <w:tab w:val="right" w:leader="dot" w:pos="9881"/>
            </w:tabs>
            <w:spacing w:after="0" w:line="240" w:lineRule="auto"/>
            <w:ind w:left="480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"_Toc1756159" </w:instrText>
          </w:r>
          <w:r>
            <w:fldChar w:fldCharType="separate"/>
          </w:r>
          <w:r>
            <w:rPr>
              <w:rStyle w:val="38"/>
            </w:rPr>
            <w:t>4.1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订单确认</w:t>
          </w:r>
          <w:r>
            <w:tab/>
          </w:r>
          <w:r>
            <w:fldChar w:fldCharType="begin"/>
          </w:r>
          <w:r>
            <w:instrText xml:space="preserve"> PAGEREF _Toc1756159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left" w:pos="420"/>
              <w:tab w:val="right" w:leader="dot" w:pos="9881"/>
            </w:tabs>
            <w:spacing w:after="0" w:line="240" w:lineRule="auto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"_Toc1756160" </w:instrText>
          </w:r>
          <w:r>
            <w:fldChar w:fldCharType="separate"/>
          </w:r>
          <w:r>
            <w:rPr>
              <w:rStyle w:val="38"/>
            </w:rPr>
            <w:t>5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合同</w:t>
          </w:r>
          <w:r>
            <w:tab/>
          </w:r>
          <w:r>
            <w:fldChar w:fldCharType="begin"/>
          </w:r>
          <w:r>
            <w:instrText xml:space="preserve"> PAGEREF _Toc1756160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left" w:pos="420"/>
              <w:tab w:val="right" w:leader="dot" w:pos="9881"/>
            </w:tabs>
            <w:spacing w:after="0" w:line="240" w:lineRule="auto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"_Toc1756161" </w:instrText>
          </w:r>
          <w:r>
            <w:fldChar w:fldCharType="separate"/>
          </w:r>
          <w:r>
            <w:rPr>
              <w:rStyle w:val="38"/>
            </w:rPr>
            <w:t>6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收发货</w:t>
          </w:r>
          <w:r>
            <w:tab/>
          </w:r>
          <w:r>
            <w:fldChar w:fldCharType="begin"/>
          </w:r>
          <w:r>
            <w:instrText xml:space="preserve"> PAGEREF _Toc1756161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left" w:pos="1050"/>
              <w:tab w:val="right" w:leader="dot" w:pos="9881"/>
            </w:tabs>
            <w:spacing w:after="0" w:line="240" w:lineRule="auto"/>
            <w:ind w:left="480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"_Toc1756162" </w:instrText>
          </w:r>
          <w:r>
            <w:fldChar w:fldCharType="separate"/>
          </w:r>
          <w:r>
            <w:rPr>
              <w:rStyle w:val="38"/>
            </w:rPr>
            <w:t>6.1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送货通知单</w:t>
          </w:r>
          <w:r>
            <w:tab/>
          </w:r>
          <w:r>
            <w:fldChar w:fldCharType="begin"/>
          </w:r>
          <w:r>
            <w:instrText xml:space="preserve"> PAGEREF _Toc1756162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left" w:pos="1050"/>
              <w:tab w:val="right" w:leader="dot" w:pos="9881"/>
            </w:tabs>
            <w:spacing w:after="0" w:line="240" w:lineRule="auto"/>
            <w:ind w:left="480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"_Toc1756163" </w:instrText>
          </w:r>
          <w:r>
            <w:fldChar w:fldCharType="separate"/>
          </w:r>
          <w:r>
            <w:rPr>
              <w:rStyle w:val="38"/>
            </w:rPr>
            <w:t>6.2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发货</w:t>
          </w:r>
          <w:r>
            <w:tab/>
          </w:r>
          <w:r>
            <w:fldChar w:fldCharType="begin"/>
          </w:r>
          <w:r>
            <w:instrText xml:space="preserve"> PAGEREF _Toc1756163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left" w:pos="420"/>
              <w:tab w:val="right" w:leader="dot" w:pos="9881"/>
            </w:tabs>
            <w:spacing w:after="0" w:line="240" w:lineRule="auto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"_Toc1756164" </w:instrText>
          </w:r>
          <w:r>
            <w:fldChar w:fldCharType="separate"/>
          </w:r>
          <w:r>
            <w:rPr>
              <w:rStyle w:val="38"/>
            </w:rPr>
            <w:t>7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退换货</w:t>
          </w:r>
          <w:r>
            <w:tab/>
          </w:r>
          <w:r>
            <w:fldChar w:fldCharType="begin"/>
          </w:r>
          <w:r>
            <w:instrText xml:space="preserve"> PAGEREF _Toc1756164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left" w:pos="1050"/>
              <w:tab w:val="right" w:leader="dot" w:pos="9881"/>
            </w:tabs>
            <w:spacing w:after="0" w:line="240" w:lineRule="auto"/>
            <w:ind w:left="480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"_Toc1756165" </w:instrText>
          </w:r>
          <w:r>
            <w:fldChar w:fldCharType="separate"/>
          </w:r>
          <w:r>
            <w:rPr>
              <w:rStyle w:val="38"/>
            </w:rPr>
            <w:t>7.1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退货</w:t>
          </w:r>
          <w:r>
            <w:tab/>
          </w:r>
          <w:r>
            <w:fldChar w:fldCharType="begin"/>
          </w:r>
          <w:r>
            <w:instrText xml:space="preserve"> PAGEREF _Toc1756165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left" w:pos="1050"/>
              <w:tab w:val="right" w:leader="dot" w:pos="9881"/>
            </w:tabs>
            <w:spacing w:after="0" w:line="240" w:lineRule="auto"/>
            <w:ind w:left="480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"_Toc1756166" </w:instrText>
          </w:r>
          <w:r>
            <w:fldChar w:fldCharType="separate"/>
          </w:r>
          <w:r>
            <w:rPr>
              <w:rStyle w:val="38"/>
            </w:rPr>
            <w:t>7.2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换货</w:t>
          </w:r>
          <w:r>
            <w:tab/>
          </w:r>
          <w:r>
            <w:fldChar w:fldCharType="begin"/>
          </w:r>
          <w:r>
            <w:instrText xml:space="preserve"> PAGEREF _Toc1756166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left" w:pos="420"/>
              <w:tab w:val="right" w:leader="dot" w:pos="9881"/>
            </w:tabs>
            <w:spacing w:after="0" w:line="240" w:lineRule="auto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"_Toc1756167" </w:instrText>
          </w:r>
          <w:r>
            <w:fldChar w:fldCharType="separate"/>
          </w:r>
          <w:r>
            <w:rPr>
              <w:rStyle w:val="38"/>
            </w:rPr>
            <w:t>8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财务</w:t>
          </w:r>
          <w:r>
            <w:tab/>
          </w:r>
          <w:r>
            <w:fldChar w:fldCharType="begin"/>
          </w:r>
          <w:r>
            <w:instrText xml:space="preserve"> PAGEREF _Toc1756167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left" w:pos="1050"/>
              <w:tab w:val="right" w:leader="dot" w:pos="9881"/>
            </w:tabs>
            <w:spacing w:after="0" w:line="240" w:lineRule="auto"/>
            <w:ind w:left="480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"_Toc1756168" </w:instrText>
          </w:r>
          <w:r>
            <w:fldChar w:fldCharType="separate"/>
          </w:r>
          <w:r>
            <w:rPr>
              <w:rStyle w:val="38"/>
            </w:rPr>
            <w:t>8.1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采购折扣费用</w:t>
          </w:r>
          <w:r>
            <w:tab/>
          </w:r>
          <w:r>
            <w:fldChar w:fldCharType="begin"/>
          </w:r>
          <w:r>
            <w:instrText xml:space="preserve"> PAGEREF _Toc1756168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left" w:pos="1050"/>
              <w:tab w:val="right" w:leader="dot" w:pos="9881"/>
            </w:tabs>
            <w:spacing w:after="0" w:line="240" w:lineRule="auto"/>
            <w:ind w:left="480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"_Toc1756169" </w:instrText>
          </w:r>
          <w:r>
            <w:fldChar w:fldCharType="separate"/>
          </w:r>
          <w:r>
            <w:rPr>
              <w:rStyle w:val="38"/>
            </w:rPr>
            <w:t>8.2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对账</w:t>
          </w:r>
          <w:r>
            <w:tab/>
          </w:r>
          <w:r>
            <w:fldChar w:fldCharType="begin"/>
          </w:r>
          <w:r>
            <w:instrText xml:space="preserve"> PAGEREF _Toc1756169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left" w:pos="1050"/>
              <w:tab w:val="right" w:leader="dot" w:pos="9881"/>
            </w:tabs>
            <w:spacing w:after="0" w:line="240" w:lineRule="auto"/>
            <w:ind w:left="480"/>
            <w:rPr>
              <w:rFonts w:eastAsiaTheme="minorEastAsia"/>
              <w:color w:val="auto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"_Toc1756170" </w:instrText>
          </w:r>
          <w:r>
            <w:fldChar w:fldCharType="separate"/>
          </w:r>
          <w:r>
            <w:rPr>
              <w:rStyle w:val="38"/>
            </w:rPr>
            <w:t>8.3</w:t>
          </w:r>
          <w:r>
            <w:rPr>
              <w:rFonts w:eastAsiaTheme="minorEastAsia"/>
              <w:color w:val="auto"/>
              <w:kern w:val="2"/>
              <w:sz w:val="21"/>
              <w:szCs w:val="22"/>
            </w:rPr>
            <w:tab/>
          </w:r>
          <w:r>
            <w:rPr>
              <w:rStyle w:val="38"/>
            </w:rPr>
            <w:t>发票明细</w:t>
          </w:r>
          <w:r>
            <w:tab/>
          </w:r>
          <w:r>
            <w:fldChar w:fldCharType="begin"/>
          </w:r>
          <w:r>
            <w:instrText xml:space="preserve"> PAGEREF _Toc1756170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spacing w:after="0" w:line="24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r>
        <w:br w:type="page"/>
      </w:r>
    </w:p>
    <w:p>
      <w:pPr>
        <w:pStyle w:val="3"/>
        <w:spacing w:line="276" w:lineRule="auto"/>
      </w:pPr>
      <w:bookmarkStart w:id="0" w:name="_Toc1756150"/>
      <w:r>
        <w:rPr>
          <w:rFonts w:hint="eastAsia"/>
        </w:rPr>
        <w:t>供应商登陆系统</w:t>
      </w:r>
      <w:bookmarkEnd w:id="0"/>
    </w:p>
    <w:p>
      <w:pPr>
        <w:pStyle w:val="4"/>
        <w:spacing w:line="276" w:lineRule="auto"/>
      </w:pPr>
      <w:bookmarkStart w:id="1" w:name="_Toc1756151"/>
      <w:r>
        <w:rPr>
          <w:rFonts w:hint="eastAsia"/>
        </w:rPr>
        <w:t>登录地址</w:t>
      </w:r>
      <w:bookmarkEnd w:id="1"/>
    </w:p>
    <w:p>
      <w:pPr>
        <w:pStyle w:val="14"/>
        <w:spacing w:line="276" w:lineRule="auto"/>
      </w:pPr>
      <w:r>
        <w:rPr>
          <w:rFonts w:hint="eastAsia"/>
        </w:rPr>
        <w:t>浏览器：</w:t>
      </w:r>
      <w:r>
        <w:t>C</w:t>
      </w:r>
      <w:r>
        <w:rPr>
          <w:rFonts w:hint="eastAsia"/>
        </w:rPr>
        <w:t>hrome</w:t>
      </w:r>
    </w:p>
    <w:p>
      <w:pPr>
        <w:pStyle w:val="14"/>
        <w:spacing w:line="276" w:lineRule="auto"/>
      </w:pPr>
      <w:r>
        <w:rPr>
          <w:rFonts w:hint="eastAsia"/>
        </w:rPr>
        <w:t>登录地址：srm.yangzijiang.com</w:t>
      </w:r>
    </w:p>
    <w:p>
      <w:pPr>
        <w:pStyle w:val="4"/>
        <w:spacing w:line="276" w:lineRule="auto"/>
      </w:pPr>
      <w:bookmarkStart w:id="2" w:name="_Toc1756152"/>
      <w:r>
        <w:rPr>
          <w:rFonts w:hint="eastAsia"/>
        </w:rPr>
        <w:t>已合作供应商登陆</w:t>
      </w:r>
      <w:bookmarkEnd w:id="2"/>
    </w:p>
    <w:p>
      <w:pPr>
        <w:pStyle w:val="14"/>
        <w:spacing w:line="276" w:lineRule="auto"/>
      </w:pPr>
      <w:r>
        <w:rPr>
          <w:rFonts w:hint="eastAsia"/>
        </w:rPr>
        <w:t>初始账号：请与扬子江药业集团采购员联系，获取六位数字E</w:t>
      </w:r>
      <w:r>
        <w:t>LS</w:t>
      </w:r>
      <w:r>
        <w:rPr>
          <w:rFonts w:hint="eastAsia"/>
        </w:rPr>
        <w:t>账号</w:t>
      </w:r>
      <w:r>
        <w:t>/</w:t>
      </w:r>
      <w:r>
        <w:rPr>
          <w:rFonts w:hint="eastAsia"/>
        </w:rPr>
        <w:t>四位数字个人账号/初始密码</w:t>
      </w:r>
    </w:p>
    <w:p>
      <w:pPr>
        <w:spacing w:line="276" w:lineRule="auto"/>
      </w:pPr>
      <w:r>
        <w:drawing>
          <wp:inline distT="0" distB="0" distL="114300" distR="114300">
            <wp:extent cx="6278880" cy="334137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3688" cy="334980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</w:pPr>
      <w:bookmarkStart w:id="3" w:name="_Toc1756153"/>
      <w:r>
        <w:rPr>
          <w:rFonts w:hint="eastAsia"/>
        </w:rPr>
        <w:t>未合作供应商首次注册</w:t>
      </w:r>
      <w:bookmarkEnd w:id="3"/>
    </w:p>
    <w:p>
      <w:pPr>
        <w:pStyle w:val="14"/>
        <w:spacing w:line="276" w:lineRule="auto"/>
      </w:pPr>
      <w:r>
        <w:rPr>
          <w:rFonts w:hint="eastAsia"/>
        </w:rPr>
        <w:t>请与扬子江药业集团采购员获取注册网址或激活码</w:t>
      </w:r>
    </w:p>
    <w:p>
      <w:pPr>
        <w:pStyle w:val="14"/>
        <w:spacing w:line="276" w:lineRule="auto"/>
      </w:pPr>
      <w:r>
        <w:rPr>
          <w:rFonts w:hint="eastAsia"/>
        </w:rPr>
        <w:t>填写公司名称、企业税号、激活码（当使用注册网址注册时不需要填写）、联系人手机号码、手机验证码、密码及密码确认、姓名、同意使用协议</w:t>
      </w:r>
    </w:p>
    <w:p>
      <w:pPr>
        <w:pStyle w:val="14"/>
        <w:spacing w:line="276" w:lineRule="auto"/>
      </w:pPr>
      <w:r>
        <w:rPr>
          <w:rFonts w:hint="eastAsia"/>
        </w:rPr>
        <w:t>系统弹出窗口，提示您注册的E</w:t>
      </w:r>
      <w:r>
        <w:t>LS</w:t>
      </w:r>
      <w:r>
        <w:rPr>
          <w:rFonts w:hint="eastAsia"/>
        </w:rPr>
        <w:t>账号、个人账号、密码，请保管好您的账号和密码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0" distR="0">
            <wp:extent cx="6173470" cy="38557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402" cy="386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76" w:lineRule="auto"/>
      </w:pPr>
      <w:bookmarkStart w:id="4" w:name="_Toc1756154"/>
      <w:r>
        <w:rPr>
          <w:rFonts w:hint="eastAsia"/>
        </w:rPr>
        <w:t>首次合作供应商准入</w:t>
      </w:r>
      <w:bookmarkEnd w:id="4"/>
    </w:p>
    <w:p>
      <w:pPr>
        <w:pStyle w:val="14"/>
        <w:spacing w:line="276" w:lineRule="auto"/>
      </w:pPr>
      <w:r>
        <w:rPr>
          <w:rFonts w:hint="eastAsia"/>
        </w:rPr>
        <w:t>登录系统</w:t>
      </w:r>
    </w:p>
    <w:p>
      <w:pPr>
        <w:pStyle w:val="14"/>
        <w:spacing w:line="276" w:lineRule="auto"/>
      </w:pPr>
      <w:r>
        <w:rPr>
          <w:rFonts w:hint="eastAsia"/>
        </w:rPr>
        <w:t>点击选择准入组织，选择贵公司准入的意向组织、部门、准入类别</w:t>
      </w:r>
    </w:p>
    <w:p>
      <w:pPr>
        <w:pStyle w:val="14"/>
        <w:spacing w:line="276" w:lineRule="auto"/>
      </w:pPr>
      <w:r>
        <w:rPr>
          <w:rFonts w:hint="eastAsia"/>
        </w:rPr>
        <w:t>填写企业基本信息</w:t>
      </w:r>
    </w:p>
    <w:p>
      <w:pPr>
        <w:pStyle w:val="14"/>
        <w:spacing w:line="276" w:lineRule="auto"/>
      </w:pPr>
      <w:r>
        <w:rPr>
          <w:rFonts w:hint="eastAsia"/>
        </w:rPr>
        <w:t>填写企业银行资料</w:t>
      </w:r>
    </w:p>
    <w:p>
      <w:pPr>
        <w:pStyle w:val="14"/>
        <w:spacing w:line="276" w:lineRule="auto"/>
      </w:pPr>
      <w:r>
        <w:rPr>
          <w:rFonts w:hint="eastAsia"/>
        </w:rPr>
        <w:t>填写企业地址资料</w:t>
      </w:r>
    </w:p>
    <w:p>
      <w:pPr>
        <w:pStyle w:val="14"/>
        <w:spacing w:line="276" w:lineRule="auto"/>
      </w:pPr>
      <w:r>
        <w:rPr>
          <w:rFonts w:hint="eastAsia"/>
        </w:rPr>
        <w:t>填写企业认证资料，选择证照类别，并输入证照基本信息，上传证照扫描件</w:t>
      </w:r>
    </w:p>
    <w:p>
      <w:pPr>
        <w:pStyle w:val="14"/>
        <w:spacing w:line="276" w:lineRule="auto"/>
      </w:pPr>
      <w:r>
        <w:rPr>
          <w:rFonts w:hint="eastAsia"/>
        </w:rPr>
        <w:t>添加企业联系人资料</w:t>
      </w:r>
    </w:p>
    <w:p>
      <w:pPr>
        <w:pStyle w:val="14"/>
        <w:spacing w:line="276" w:lineRule="auto"/>
      </w:pPr>
      <w:r>
        <w:rPr>
          <w:rFonts w:hint="eastAsia"/>
        </w:rPr>
        <w:t>若您为G</w:t>
      </w:r>
      <w:r>
        <w:t>MP</w:t>
      </w:r>
      <w:r>
        <w:rPr>
          <w:rFonts w:hint="eastAsia"/>
        </w:rPr>
        <w:t>物料供应商，请填写生产商资料和物料认证页签内容</w:t>
      </w:r>
    </w:p>
    <w:p>
      <w:pPr>
        <w:pStyle w:val="14"/>
        <w:spacing w:line="276" w:lineRule="auto"/>
      </w:pPr>
      <w:r>
        <w:rPr>
          <w:rFonts w:hint="eastAsia"/>
        </w:rPr>
        <w:t>填写完毕后，请保存，检查各页签内容正确性和完整性后，提交审批</w:t>
      </w:r>
    </w:p>
    <w:p>
      <w:pPr>
        <w:pStyle w:val="14"/>
        <w:spacing w:line="276" w:lineRule="auto"/>
      </w:pPr>
      <w:r>
        <w:rPr>
          <w:rFonts w:hint="eastAsia"/>
        </w:rPr>
        <w:t>审批获准后准入完成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0" distR="0">
            <wp:extent cx="5733415" cy="30759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76" w:lineRule="auto"/>
      </w:pPr>
      <w:bookmarkStart w:id="5" w:name="_Toc1756155"/>
      <w:r>
        <w:rPr>
          <w:rFonts w:hint="eastAsia"/>
        </w:rPr>
        <w:t>供应商报价</w:t>
      </w:r>
      <w:bookmarkEnd w:id="5"/>
    </w:p>
    <w:p>
      <w:pPr>
        <w:pStyle w:val="4"/>
        <w:spacing w:line="276" w:lineRule="auto"/>
      </w:pPr>
      <w:bookmarkStart w:id="6" w:name="_Toc1756156"/>
      <w:r>
        <w:rPr>
          <w:rFonts w:hint="eastAsia"/>
        </w:rPr>
        <w:t>报价</w:t>
      </w:r>
      <w:bookmarkEnd w:id="6"/>
    </w:p>
    <w:p>
      <w:pPr>
        <w:pStyle w:val="14"/>
        <w:spacing w:line="276" w:lineRule="auto"/>
      </w:pPr>
      <w:r>
        <w:rPr>
          <w:rFonts w:hint="eastAsia"/>
        </w:rPr>
        <w:t>登陆系统</w:t>
      </w:r>
    </w:p>
    <w:p>
      <w:pPr>
        <w:pStyle w:val="14"/>
        <w:spacing w:line="276" w:lineRule="auto"/>
      </w:pPr>
      <w:r>
        <w:rPr>
          <w:rFonts w:hint="eastAsia"/>
        </w:rPr>
        <w:t>询报价管理-采购项目页签</w:t>
      </w:r>
    </w:p>
    <w:p>
      <w:pPr>
        <w:pStyle w:val="14"/>
        <w:spacing w:line="276" w:lineRule="auto"/>
      </w:pPr>
      <w:r>
        <w:rPr>
          <w:rFonts w:hint="eastAsia"/>
        </w:rPr>
        <w:t>可下载并查询投标附件</w:t>
      </w:r>
    </w:p>
    <w:p>
      <w:pPr>
        <w:pStyle w:val="14"/>
        <w:spacing w:line="276" w:lineRule="auto"/>
      </w:pPr>
      <w:r>
        <w:rPr>
          <w:rFonts w:hint="eastAsia"/>
        </w:rPr>
        <w:t>选择物料税码（固定资产请选用D开头税码，其他物料选择J开头税码）</w:t>
      </w:r>
    </w:p>
    <w:p>
      <w:pPr>
        <w:pStyle w:val="14"/>
        <w:spacing w:line="276" w:lineRule="auto"/>
      </w:pPr>
      <w:r>
        <w:rPr>
          <w:rFonts w:hint="eastAsia"/>
        </w:rPr>
        <w:t>录入含税单价自动计算含税总价</w:t>
      </w:r>
    </w:p>
    <w:p>
      <w:pPr>
        <w:pStyle w:val="14"/>
        <w:spacing w:line="276" w:lineRule="auto"/>
      </w:pPr>
      <w:r>
        <w:rPr>
          <w:rFonts w:hint="eastAsia"/>
        </w:rPr>
        <w:t>录入备注</w:t>
      </w:r>
    </w:p>
    <w:p>
      <w:pPr>
        <w:pStyle w:val="14"/>
        <w:spacing w:line="276" w:lineRule="auto"/>
      </w:pPr>
      <w:r>
        <w:rPr>
          <w:rFonts w:hint="eastAsia"/>
        </w:rPr>
        <w:t>录入预计到货日期</w:t>
      </w:r>
    </w:p>
    <w:p>
      <w:pPr>
        <w:pStyle w:val="14"/>
        <w:spacing w:line="276" w:lineRule="auto"/>
      </w:pPr>
      <w:r>
        <w:rPr>
          <w:rFonts w:hint="eastAsia"/>
        </w:rPr>
        <w:t>点击暂存保存报价信息，点击提交则报价成功，之后报价信息于已报价页签查看</w:t>
      </w:r>
    </w:p>
    <w:p>
      <w:pPr>
        <w:pStyle w:val="14"/>
        <w:spacing w:line="276" w:lineRule="auto"/>
      </w:pPr>
      <w:r>
        <w:rPr>
          <w:rFonts w:hint="eastAsia"/>
        </w:rPr>
        <w:t>扬子江未确认报价前，您仍然可以修改报价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6027420" cy="2926080"/>
            <wp:effectExtent l="0" t="0" r="0" b="762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6084" cy="29305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</w:pPr>
      <w:bookmarkStart w:id="7" w:name="_Toc1756157"/>
      <w:r>
        <w:rPr>
          <w:rFonts w:hint="eastAsia"/>
        </w:rPr>
        <w:t>议价</w:t>
      </w:r>
      <w:bookmarkEnd w:id="7"/>
    </w:p>
    <w:p>
      <w:pPr>
        <w:pStyle w:val="14"/>
        <w:spacing w:line="276" w:lineRule="auto"/>
      </w:pPr>
      <w:r>
        <w:rPr>
          <w:rFonts w:hint="eastAsia"/>
        </w:rPr>
        <w:t>询报价管理</w:t>
      </w:r>
    </w:p>
    <w:p>
      <w:pPr>
        <w:pStyle w:val="14"/>
        <w:spacing w:line="276" w:lineRule="auto"/>
      </w:pPr>
      <w:r>
        <w:rPr>
          <w:rFonts w:hint="eastAsia"/>
        </w:rPr>
        <w:t>采购结果议价页签-议价</w:t>
      </w:r>
    </w:p>
    <w:p>
      <w:pPr>
        <w:pStyle w:val="14"/>
        <w:spacing w:line="276" w:lineRule="auto"/>
      </w:pPr>
      <w:r>
        <w:rPr>
          <w:rFonts w:hint="eastAsia"/>
        </w:rPr>
        <w:t>进入议价页签，查看扬子江的议价金额，选择确认或拒绝议价结果</w:t>
      </w:r>
    </w:p>
    <w:p>
      <w:pPr>
        <w:pStyle w:val="14"/>
        <w:spacing w:line="276" w:lineRule="auto"/>
      </w:pPr>
      <w:r>
        <w:rPr>
          <w:rFonts w:hint="eastAsia"/>
        </w:rPr>
        <w:t>议价结果可与扬子江反复传递，直到您确认价格则视为询价完成</w:t>
      </w:r>
    </w:p>
    <w:p>
      <w:pPr>
        <w:pStyle w:val="14"/>
        <w:numPr>
          <w:ilvl w:val="0"/>
          <w:numId w:val="0"/>
        </w:numPr>
        <w:spacing w:line="276" w:lineRule="auto"/>
      </w:pP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6207125" cy="2758440"/>
            <wp:effectExtent l="0" t="0" r="317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8617" cy="275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6203950" cy="118681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7092" cy="12261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76" w:lineRule="auto"/>
      </w:pPr>
      <w:bookmarkStart w:id="8" w:name="_Toc1756158"/>
      <w:r>
        <w:rPr>
          <w:rFonts w:hint="eastAsia"/>
        </w:rPr>
        <w:t>订单</w:t>
      </w:r>
      <w:bookmarkEnd w:id="8"/>
    </w:p>
    <w:p>
      <w:pPr>
        <w:pStyle w:val="4"/>
        <w:spacing w:line="276" w:lineRule="auto"/>
      </w:pPr>
      <w:bookmarkStart w:id="9" w:name="_Toc1756159"/>
      <w:r>
        <w:rPr>
          <w:rFonts w:hint="eastAsia"/>
        </w:rPr>
        <w:t>订单确认</w:t>
      </w:r>
      <w:bookmarkEnd w:id="9"/>
    </w:p>
    <w:p>
      <w:pPr>
        <w:pStyle w:val="14"/>
        <w:spacing w:line="276" w:lineRule="auto"/>
      </w:pPr>
      <w:r>
        <w:rPr>
          <w:rFonts w:hint="eastAsia"/>
        </w:rPr>
        <w:t>订单协同</w:t>
      </w:r>
    </w:p>
    <w:p>
      <w:pPr>
        <w:pStyle w:val="14"/>
        <w:spacing w:line="276" w:lineRule="auto"/>
      </w:pPr>
      <w:r>
        <w:rPr>
          <w:rFonts w:hint="eastAsia"/>
        </w:rPr>
        <w:t>销售订单管理</w:t>
      </w:r>
    </w:p>
    <w:p>
      <w:pPr>
        <w:pStyle w:val="14"/>
        <w:spacing w:line="276" w:lineRule="auto"/>
      </w:pPr>
      <w:r>
        <w:rPr>
          <w:rFonts w:hint="eastAsia"/>
        </w:rPr>
        <w:t>点击采购订单号查询订单详情</w:t>
      </w:r>
    </w:p>
    <w:p>
      <w:pPr>
        <w:pStyle w:val="14"/>
        <w:spacing w:line="276" w:lineRule="auto"/>
      </w:pPr>
      <w:r>
        <w:rPr>
          <w:rFonts w:hint="eastAsia"/>
        </w:rPr>
        <w:t>如订单无误选择确认，否则退回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6256020" cy="2834005"/>
            <wp:effectExtent l="0" t="0" r="0" b="44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6459" cy="284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</w:pPr>
      <w:r>
        <w:rPr>
          <w:rFonts w:hint="eastAsia"/>
        </w:rPr>
        <w:t>打印合同，点击订单详情页面内合同打印按钮，可点击打印直接打印，同时支持导出pdf供归档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6256020" cy="3455035"/>
            <wp:effectExtent l="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0594" cy="34633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76" w:lineRule="auto"/>
      </w:pPr>
      <w:bookmarkStart w:id="10" w:name="_Toc1756160"/>
      <w:r>
        <w:rPr>
          <w:rFonts w:hint="eastAsia"/>
        </w:rPr>
        <w:t>合同</w:t>
      </w:r>
      <w:bookmarkEnd w:id="10"/>
    </w:p>
    <w:p>
      <w:pPr>
        <w:pStyle w:val="14"/>
        <w:spacing w:line="276" w:lineRule="auto"/>
      </w:pPr>
      <w:r>
        <w:rPr>
          <w:rFonts w:hint="eastAsia"/>
        </w:rPr>
        <w:t>合同管理</w:t>
      </w:r>
    </w:p>
    <w:p>
      <w:pPr>
        <w:pStyle w:val="14"/>
        <w:spacing w:line="276" w:lineRule="auto"/>
      </w:pPr>
      <w:r>
        <w:rPr>
          <w:rFonts w:hint="eastAsia"/>
        </w:rPr>
        <w:t>点击合同编号查询合同详情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0" distR="0">
            <wp:extent cx="6238875" cy="333756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5057" cy="334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</w:pPr>
      <w:r>
        <w:rPr>
          <w:rFonts w:hint="eastAsia"/>
        </w:rPr>
        <w:t>合同管理页面支持导出合同台账表</w:t>
      </w:r>
    </w:p>
    <w:p>
      <w:pPr>
        <w:pStyle w:val="3"/>
        <w:spacing w:line="276" w:lineRule="auto"/>
      </w:pPr>
      <w:bookmarkStart w:id="11" w:name="_Toc1756161"/>
      <w:r>
        <w:rPr>
          <w:rFonts w:hint="eastAsia"/>
        </w:rPr>
        <w:t>收发货</w:t>
      </w:r>
      <w:bookmarkEnd w:id="11"/>
    </w:p>
    <w:p>
      <w:pPr>
        <w:pStyle w:val="4"/>
        <w:spacing w:line="276" w:lineRule="auto"/>
      </w:pPr>
      <w:bookmarkStart w:id="12" w:name="_Toc1756162"/>
      <w:r>
        <w:rPr>
          <w:rFonts w:hint="eastAsia"/>
        </w:rPr>
        <w:t>送货通知单</w:t>
      </w:r>
      <w:bookmarkEnd w:id="12"/>
    </w:p>
    <w:p>
      <w:pPr>
        <w:pStyle w:val="14"/>
        <w:spacing w:line="276" w:lineRule="auto"/>
      </w:pPr>
      <w:r>
        <w:rPr>
          <w:rFonts w:hint="eastAsia"/>
        </w:rPr>
        <w:t>订单协同</w:t>
      </w:r>
    </w:p>
    <w:p>
      <w:pPr>
        <w:pStyle w:val="14"/>
        <w:spacing w:line="276" w:lineRule="auto"/>
      </w:pPr>
      <w:r>
        <w:rPr>
          <w:rFonts w:hint="eastAsia"/>
        </w:rPr>
        <w:t>送货通知单</w:t>
      </w:r>
    </w:p>
    <w:p>
      <w:pPr>
        <w:pStyle w:val="14"/>
        <w:spacing w:line="276" w:lineRule="auto"/>
      </w:pPr>
      <w:r>
        <w:rPr>
          <w:rFonts w:hint="eastAsia"/>
        </w:rPr>
        <w:t>勾选送货通知单，填写供应商确认数量（数量应小于等于采购需求数量），点击确认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6174105" cy="2872740"/>
            <wp:effectExtent l="0" t="0" r="0" b="38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9617" cy="287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</w:pPr>
      <w:r>
        <w:rPr>
          <w:rFonts w:hint="eastAsia"/>
        </w:rPr>
        <w:t>若不认可该送货通知单，则勾选对应送货单，点击退货</w:t>
      </w:r>
    </w:p>
    <w:p>
      <w:pPr>
        <w:pStyle w:val="4"/>
        <w:spacing w:line="276" w:lineRule="auto"/>
      </w:pPr>
      <w:bookmarkStart w:id="13" w:name="_Toc1756163"/>
      <w:r>
        <w:rPr>
          <w:rFonts w:hint="eastAsia"/>
        </w:rPr>
        <w:t>发货</w:t>
      </w:r>
      <w:bookmarkEnd w:id="13"/>
    </w:p>
    <w:p>
      <w:pPr>
        <w:pStyle w:val="14"/>
        <w:spacing w:line="276" w:lineRule="auto"/>
      </w:pPr>
      <w:r>
        <w:rPr>
          <w:rFonts w:hint="eastAsia"/>
        </w:rPr>
        <w:t>订单协同</w:t>
      </w:r>
    </w:p>
    <w:p>
      <w:pPr>
        <w:pStyle w:val="14"/>
        <w:spacing w:line="276" w:lineRule="auto"/>
      </w:pPr>
      <w:r>
        <w:rPr>
          <w:rFonts w:hint="eastAsia"/>
        </w:rPr>
        <w:t>送货通知单</w:t>
      </w:r>
    </w:p>
    <w:p>
      <w:pPr>
        <w:pStyle w:val="14"/>
        <w:spacing w:line="276" w:lineRule="auto"/>
      </w:pPr>
      <w:r>
        <w:rPr>
          <w:rFonts w:hint="eastAsia"/>
        </w:rPr>
        <w:t>勾选一或多行送货通知单，点击生成发货单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6184900" cy="2880360"/>
            <wp:effectExtent l="0" t="0" r="635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9300" cy="288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</w:pPr>
      <w:r>
        <w:rPr>
          <w:rFonts w:hint="eastAsia"/>
        </w:rPr>
        <w:t>弹出发货单页面</w:t>
      </w:r>
    </w:p>
    <w:p>
      <w:pPr>
        <w:pStyle w:val="14"/>
        <w:spacing w:line="276" w:lineRule="auto"/>
      </w:pPr>
      <w:r>
        <w:rPr>
          <w:rFonts w:hint="eastAsia"/>
        </w:rPr>
        <w:t>录入物流商与物流单号</w:t>
      </w:r>
    </w:p>
    <w:p>
      <w:pPr>
        <w:pStyle w:val="14"/>
        <w:spacing w:line="276" w:lineRule="auto"/>
      </w:pPr>
      <w:r>
        <w:rPr>
          <w:rFonts w:hint="eastAsia"/>
        </w:rPr>
        <w:t>修改并确认预计发货日期和预计到达日期</w:t>
      </w:r>
    </w:p>
    <w:p>
      <w:pPr>
        <w:pStyle w:val="14"/>
        <w:spacing w:line="276" w:lineRule="auto"/>
      </w:pPr>
      <w:r>
        <w:rPr>
          <w:rFonts w:hint="eastAsia"/>
        </w:rPr>
        <w:t>录入包装件数、批次、生产日期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6273800" cy="1676400"/>
            <wp:effectExtent l="0" t="0" r="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0030" cy="16806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</w:pPr>
      <w:r>
        <w:rPr>
          <w:rFonts w:hint="eastAsia"/>
        </w:rPr>
        <w:t>点击保存，保存发货单</w:t>
      </w:r>
    </w:p>
    <w:p>
      <w:pPr>
        <w:pStyle w:val="14"/>
        <w:spacing w:line="276" w:lineRule="auto"/>
      </w:pPr>
      <w:r>
        <w:rPr>
          <w:rFonts w:hint="eastAsia"/>
        </w:rPr>
        <w:t>发货单-表单文件页签，上传发货附件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6186805" cy="3329940"/>
            <wp:effectExtent l="0" t="0" r="4445" b="381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8872" cy="33361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</w:pPr>
      <w:r>
        <w:rPr>
          <w:rFonts w:hint="eastAsia"/>
        </w:rPr>
        <w:t>确认发货单无误，点击发货，成功发货</w:t>
      </w:r>
    </w:p>
    <w:p>
      <w:pPr>
        <w:pStyle w:val="14"/>
        <w:spacing w:line="276" w:lineRule="auto"/>
      </w:pPr>
      <w:r>
        <w:rPr>
          <w:rFonts w:hint="eastAsia"/>
        </w:rPr>
        <w:t>删除发货单，请在订单协同-发货管理，选择发货单行项目，点击删除即可（仅允许删除未发货的发货单）</w:t>
      </w:r>
    </w:p>
    <w:p>
      <w:pPr>
        <w:pStyle w:val="3"/>
        <w:spacing w:line="276" w:lineRule="auto"/>
      </w:pPr>
      <w:bookmarkStart w:id="14" w:name="_Toc1756164"/>
      <w:r>
        <w:rPr>
          <w:rFonts w:hint="eastAsia"/>
        </w:rPr>
        <w:t>退换货</w:t>
      </w:r>
      <w:bookmarkEnd w:id="14"/>
    </w:p>
    <w:p>
      <w:pPr>
        <w:pStyle w:val="4"/>
        <w:spacing w:line="276" w:lineRule="auto"/>
      </w:pPr>
      <w:bookmarkStart w:id="15" w:name="_Toc1756165"/>
      <w:r>
        <w:rPr>
          <w:rFonts w:hint="eastAsia"/>
        </w:rPr>
        <w:t>退货</w:t>
      </w:r>
      <w:bookmarkEnd w:id="15"/>
    </w:p>
    <w:p>
      <w:pPr>
        <w:pStyle w:val="14"/>
        <w:spacing w:line="276" w:lineRule="auto"/>
      </w:pPr>
      <w:r>
        <w:rPr>
          <w:rFonts w:hint="eastAsia"/>
        </w:rPr>
        <w:t>订单协同</w:t>
      </w:r>
    </w:p>
    <w:p>
      <w:pPr>
        <w:pStyle w:val="14"/>
        <w:spacing w:line="276" w:lineRule="auto"/>
      </w:pPr>
      <w:r>
        <w:rPr>
          <w:rFonts w:hint="eastAsia"/>
        </w:rPr>
        <w:t>销售退货管理</w:t>
      </w:r>
    </w:p>
    <w:p>
      <w:pPr>
        <w:pStyle w:val="14"/>
        <w:spacing w:line="276" w:lineRule="auto"/>
      </w:pPr>
      <w:r>
        <w:rPr>
          <w:rFonts w:hint="eastAsia"/>
        </w:rPr>
        <w:t>勾选退货订单行，点击查看，查询退货单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6166485" cy="2735580"/>
            <wp:effectExtent l="0" t="0" r="571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5516" cy="273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</w:pPr>
      <w:r>
        <w:rPr>
          <w:rFonts w:hint="eastAsia"/>
        </w:rPr>
        <w:t>根据业务确认或退回退货单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6133465" cy="2697480"/>
            <wp:effectExtent l="0" t="0" r="63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9232" cy="27000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</w:pPr>
      <w:bookmarkStart w:id="16" w:name="_Toc1756166"/>
      <w:r>
        <w:rPr>
          <w:rFonts w:hint="eastAsia"/>
        </w:rPr>
        <w:t>换货</w:t>
      </w:r>
      <w:bookmarkEnd w:id="16"/>
    </w:p>
    <w:p>
      <w:pPr>
        <w:pStyle w:val="14"/>
        <w:spacing w:line="276" w:lineRule="auto"/>
      </w:pPr>
      <w:r>
        <w:rPr>
          <w:rFonts w:hint="eastAsia"/>
        </w:rPr>
        <w:t>订单协同</w:t>
      </w:r>
    </w:p>
    <w:p>
      <w:pPr>
        <w:pStyle w:val="14"/>
        <w:spacing w:line="276" w:lineRule="auto"/>
      </w:pPr>
      <w:r>
        <w:rPr>
          <w:rFonts w:hint="eastAsia"/>
        </w:rPr>
        <w:t>销售退货管理</w:t>
      </w:r>
    </w:p>
    <w:p>
      <w:pPr>
        <w:pStyle w:val="14"/>
        <w:spacing w:line="276" w:lineRule="auto"/>
      </w:pPr>
      <w:r>
        <w:rPr>
          <w:rFonts w:hint="eastAsia"/>
        </w:rPr>
        <w:t>筛选换货订单</w:t>
      </w:r>
    </w:p>
    <w:p>
      <w:pPr>
        <w:pStyle w:val="14"/>
        <w:spacing w:line="276" w:lineRule="auto"/>
      </w:pPr>
      <w:r>
        <w:rPr>
          <w:rFonts w:hint="eastAsia"/>
        </w:rPr>
        <w:t>根据业务确认和退货两张换货单</w:t>
      </w:r>
    </w:p>
    <w:p>
      <w:pPr>
        <w:pStyle w:val="3"/>
        <w:spacing w:line="276" w:lineRule="auto"/>
      </w:pPr>
      <w:bookmarkStart w:id="17" w:name="_Toc1756167"/>
      <w:r>
        <w:rPr>
          <w:rFonts w:hint="eastAsia"/>
        </w:rPr>
        <w:t>财务</w:t>
      </w:r>
      <w:bookmarkEnd w:id="17"/>
    </w:p>
    <w:p>
      <w:pPr>
        <w:pStyle w:val="4"/>
        <w:spacing w:line="276" w:lineRule="auto"/>
      </w:pPr>
      <w:bookmarkStart w:id="18" w:name="_Toc1756168"/>
      <w:r>
        <w:rPr>
          <w:rFonts w:hint="eastAsia"/>
        </w:rPr>
        <w:t>采购折扣费用</w:t>
      </w:r>
      <w:bookmarkEnd w:id="18"/>
    </w:p>
    <w:p>
      <w:pPr>
        <w:pStyle w:val="14"/>
        <w:spacing w:line="276" w:lineRule="auto"/>
      </w:pPr>
      <w:r>
        <w:rPr>
          <w:rFonts w:hint="eastAsia"/>
        </w:rPr>
        <w:t>财务协同</w:t>
      </w:r>
    </w:p>
    <w:p>
      <w:pPr>
        <w:pStyle w:val="14"/>
        <w:spacing w:line="276" w:lineRule="auto"/>
      </w:pPr>
      <w:r>
        <w:rPr>
          <w:rFonts w:hint="eastAsia"/>
        </w:rPr>
        <w:t>折扣费用管理</w:t>
      </w:r>
    </w:p>
    <w:p>
      <w:pPr>
        <w:pStyle w:val="14"/>
        <w:spacing w:line="276" w:lineRule="auto"/>
      </w:pPr>
      <w:r>
        <w:rPr>
          <w:rFonts w:hint="eastAsia"/>
        </w:rPr>
        <w:t>勾选折扣费用行，根据业务确认或退回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6267450" cy="2705100"/>
            <wp:effectExtent l="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0951" cy="2710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</w:pPr>
      <w:r>
        <w:rPr>
          <w:rFonts w:hint="eastAsia"/>
        </w:rPr>
        <w:t>可根据单据类型筛选并查询折扣费用单</w:t>
      </w:r>
    </w:p>
    <w:p>
      <w:pPr>
        <w:pStyle w:val="4"/>
        <w:spacing w:line="276" w:lineRule="auto"/>
      </w:pPr>
      <w:bookmarkStart w:id="19" w:name="_Toc1756169"/>
      <w:r>
        <w:rPr>
          <w:rFonts w:hint="eastAsia"/>
        </w:rPr>
        <w:t>对账</w:t>
      </w:r>
      <w:bookmarkEnd w:id="19"/>
    </w:p>
    <w:p>
      <w:pPr>
        <w:pStyle w:val="14"/>
        <w:spacing w:line="276" w:lineRule="auto"/>
      </w:pPr>
      <w:r>
        <w:rPr>
          <w:rFonts w:hint="eastAsia"/>
        </w:rPr>
        <w:t>财务协同</w:t>
      </w:r>
    </w:p>
    <w:p>
      <w:pPr>
        <w:pStyle w:val="14"/>
        <w:spacing w:line="276" w:lineRule="auto"/>
      </w:pPr>
      <w:r>
        <w:rPr>
          <w:rFonts w:hint="eastAsia"/>
        </w:rPr>
        <w:t>销售业务对账管理</w:t>
      </w:r>
    </w:p>
    <w:p>
      <w:pPr>
        <w:pStyle w:val="14"/>
        <w:spacing w:line="276" w:lineRule="auto"/>
      </w:pPr>
      <w:r>
        <w:rPr>
          <w:rFonts w:hint="eastAsia"/>
        </w:rPr>
        <w:t>点击新建，新建对账单</w:t>
      </w:r>
    </w:p>
    <w:p>
      <w:pPr>
        <w:pStyle w:val="14"/>
        <w:spacing w:line="276" w:lineRule="auto"/>
      </w:pPr>
      <w:r>
        <w:rPr>
          <w:rFonts w:hint="eastAsia"/>
        </w:rPr>
        <w:t>选择扬子江方公司代码、公司名称、采购方负责人</w:t>
      </w:r>
    </w:p>
    <w:p>
      <w:pPr>
        <w:pStyle w:val="14"/>
        <w:spacing w:line="276" w:lineRule="auto"/>
      </w:pPr>
      <w:r>
        <w:rPr>
          <w:rFonts w:hint="eastAsia"/>
        </w:rPr>
        <w:t>选择税码（固定资产选择D开头税码，物料选择J开头税码）、对账开始日期、对账结束日期、销售方负责人</w:t>
      </w:r>
    </w:p>
    <w:p>
      <w:pPr>
        <w:pStyle w:val="14"/>
        <w:spacing w:line="276" w:lineRule="auto"/>
      </w:pPr>
      <w:r>
        <w:rPr>
          <w:rFonts w:hint="eastAsia"/>
        </w:rPr>
        <w:t>录入付款方式、付款期限（天数）、付款基准日期，若有误则手动修改（付款到期日期=付款基准日期+付款期限）</w:t>
      </w:r>
    </w:p>
    <w:p>
      <w:pPr>
        <w:pStyle w:val="14"/>
        <w:spacing w:line="276" w:lineRule="auto"/>
      </w:pPr>
      <w:r>
        <w:rPr>
          <w:rFonts w:hint="eastAsia"/>
        </w:rPr>
        <w:t>录入备注日期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6324600" cy="3438525"/>
            <wp:effectExtent l="0" t="0" r="0" b="952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47823" cy="345131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</w:pPr>
      <w:r>
        <w:rPr>
          <w:rFonts w:hint="eastAsia"/>
        </w:rPr>
        <w:t>提取对账数据，确认后自动获取对账单行项目信息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6200775" cy="3375660"/>
            <wp:effectExtent l="0" t="0" r="9525" b="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953" cy="338094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</w:pPr>
      <w:r>
        <w:rPr>
          <w:rFonts w:hint="eastAsia"/>
        </w:rPr>
        <w:t>可通过对账行项目页签内的筛选功能查询对账行</w:t>
      </w:r>
    </w:p>
    <w:p>
      <w:pPr>
        <w:pStyle w:val="14"/>
        <w:spacing w:line="276" w:lineRule="auto"/>
      </w:pPr>
      <w:r>
        <w:rPr>
          <w:rFonts w:hint="eastAsia"/>
        </w:rPr>
        <w:t>无需对账的对账行项目勾选并点击批量删除</w:t>
      </w:r>
    </w:p>
    <w:p>
      <w:pPr>
        <w:pStyle w:val="14"/>
        <w:spacing w:line="276" w:lineRule="auto"/>
      </w:pPr>
      <w:r>
        <w:rPr>
          <w:rFonts w:hint="eastAsia"/>
        </w:rPr>
        <w:t>发起对账的其他材料请上传至表单文件页签</w:t>
      </w:r>
    </w:p>
    <w:p>
      <w:pPr>
        <w:pStyle w:val="14"/>
        <w:spacing w:line="276" w:lineRule="auto"/>
      </w:pPr>
      <w:r>
        <w:rPr>
          <w:rFonts w:hint="eastAsia"/>
        </w:rPr>
        <w:t>请查询收货明细和扣款明细页签</w:t>
      </w:r>
    </w:p>
    <w:p>
      <w:pPr>
        <w:pStyle w:val="14"/>
        <w:spacing w:line="276" w:lineRule="auto"/>
      </w:pPr>
      <w:r>
        <w:rPr>
          <w:rFonts w:hint="eastAsia"/>
        </w:rPr>
        <w:t>点击保存</w:t>
      </w:r>
    </w:p>
    <w:p>
      <w:pPr>
        <w:pStyle w:val="14"/>
        <w:spacing w:line="276" w:lineRule="auto"/>
      </w:pPr>
      <w:r>
        <w:rPr>
          <w:rFonts w:hint="eastAsia"/>
        </w:rPr>
        <w:t>检查对账单正确性和完整性，点击保存发送，将对账请求发送至扬子江</w:t>
      </w:r>
    </w:p>
    <w:p>
      <w:pPr>
        <w:pStyle w:val="4"/>
        <w:spacing w:line="276" w:lineRule="auto"/>
      </w:pPr>
      <w:bookmarkStart w:id="20" w:name="_Toc1756170"/>
      <w:r>
        <w:rPr>
          <w:rFonts w:hint="eastAsia"/>
        </w:rPr>
        <w:t>发票明细</w:t>
      </w:r>
      <w:bookmarkEnd w:id="20"/>
    </w:p>
    <w:p>
      <w:pPr>
        <w:pStyle w:val="14"/>
        <w:spacing w:line="276" w:lineRule="auto"/>
      </w:pPr>
      <w:r>
        <w:rPr>
          <w:rFonts w:hint="eastAsia"/>
        </w:rPr>
        <w:t>财务系统</w:t>
      </w:r>
    </w:p>
    <w:p>
      <w:pPr>
        <w:pStyle w:val="14"/>
        <w:spacing w:line="276" w:lineRule="auto"/>
      </w:pPr>
      <w:r>
        <w:rPr>
          <w:rFonts w:hint="eastAsia"/>
        </w:rPr>
        <w:t>销售业务对账管理</w:t>
      </w:r>
    </w:p>
    <w:p>
      <w:pPr>
        <w:pStyle w:val="14"/>
        <w:spacing w:line="276" w:lineRule="auto"/>
      </w:pPr>
      <w:r>
        <w:rPr>
          <w:rFonts w:hint="eastAsia"/>
        </w:rPr>
        <w:t>勾选对账单行项目，点击修改</w:t>
      </w:r>
    </w:p>
    <w:p>
      <w:pPr>
        <w:pStyle w:val="14"/>
        <w:spacing w:line="276" w:lineRule="auto"/>
      </w:pPr>
      <w:r>
        <w:rPr>
          <w:rFonts w:hint="eastAsia"/>
        </w:rPr>
        <w:t>请在发票明细页签新增发票明细行</w:t>
      </w:r>
    </w:p>
    <w:p>
      <w:pPr>
        <w:pStyle w:val="14"/>
        <w:spacing w:line="276" w:lineRule="auto"/>
      </w:pPr>
      <w:r>
        <w:rPr>
          <w:rFonts w:hint="eastAsia"/>
        </w:rPr>
        <w:t>录入开票日期、发票号、发票总金额、税额、备注(发票总金额不能大于收货总金额+附加费总金额-扣款总金额)</w:t>
      </w:r>
    </w:p>
    <w:p>
      <w:pPr>
        <w:pStyle w:val="14"/>
        <w:spacing w:line="276" w:lineRule="auto"/>
      </w:pPr>
      <w:r>
        <w:rPr>
          <w:rFonts w:hint="eastAsia"/>
        </w:rPr>
        <w:t>点击保存，保存发票明细行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6369685" cy="3520440"/>
            <wp:effectExtent l="0" t="0" r="0" b="381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80070" cy="35261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</w:pPr>
      <w:r>
        <w:rPr>
          <w:rFonts w:hint="eastAsia"/>
        </w:rPr>
        <w:t>确认无误后，点击发送，发送至扬子江</w:t>
      </w:r>
    </w:p>
    <w:p>
      <w:pPr>
        <w:pStyle w:val="14"/>
        <w:spacing w:line="276" w:lineRule="auto"/>
      </w:pPr>
      <w:r>
        <w:rPr>
          <w:rFonts w:hint="eastAsia"/>
        </w:rPr>
        <w:t>未发送的对账单允许修改</w:t>
      </w:r>
    </w:p>
    <w:p>
      <w:pPr>
        <w:pStyle w:val="14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6346825" cy="2971800"/>
            <wp:effectExtent l="0" t="0" r="0" b="0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53848" cy="29750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</w:pPr>
      <w:r>
        <w:rPr>
          <w:rFonts w:hint="eastAsia"/>
        </w:rPr>
        <w:t>销售业务对账管理提供导出功能</w:t>
      </w:r>
    </w:p>
    <w:sectPr>
      <w:footerReference r:id="rId4" w:type="first"/>
      <w:footerReference r:id="rId3" w:type="default"/>
      <w:pgSz w:w="11907" w:h="16839"/>
      <w:pgMar w:top="1901" w:right="1008" w:bottom="1440" w:left="1008" w:header="720" w:footer="432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41171722"/>
      <w:docPartObj>
        <w:docPartGallery w:val="AutoText"/>
      </w:docPartObj>
    </w:sdtPr>
    <w:sdtContent>
      <w:p>
        <w:pPr>
          <w:pStyle w:val="21"/>
        </w:pPr>
        <w:r>
          <w:rPr>
            <w:lang w:val="zh-CN" w:bidi="zh-CN"/>
          </w:rPr>
          <w:fldChar w:fldCharType="begin"/>
        </w:r>
        <w:r>
          <w:rPr>
            <w:lang w:val="zh-CN" w:bidi="zh-CN"/>
          </w:rPr>
          <w:instrText xml:space="preserve"> PAGE   \* MERGEFORMAT </w:instrText>
        </w:r>
        <w:r>
          <w:rPr>
            <w:lang w:val="zh-CN" w:bidi="zh-CN"/>
          </w:rPr>
          <w:fldChar w:fldCharType="separate"/>
        </w:r>
        <w:r>
          <w:rPr>
            <w:lang w:val="zh-CN" w:bidi="zh-CN"/>
          </w:rPr>
          <w:t>0</w:t>
        </w:r>
        <w:r>
          <w:rPr>
            <w:lang w:val="zh-CN" w:bidi="zh-C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jc w:val="center"/>
      <w:rPr>
        <w:color w:val="005595" w:themeColor="accent1" w:themeShade="BF"/>
      </w:rPr>
    </w:pPr>
    <w:r>
      <w:rPr>
        <w:rFonts w:hint="eastAsia"/>
        <w:color w:val="005595" w:themeColor="accent1" w:themeShade="BF"/>
      </w:rPr>
      <w:t>互联互通 用企企通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1FAC"/>
    <w:multiLevelType w:val="multilevel"/>
    <w:tmpl w:val="00E91FAC"/>
    <w:lvl w:ilvl="0" w:tentative="0">
      <w:start w:val="1"/>
      <w:numFmt w:val="decimal"/>
      <w:pStyle w:val="3"/>
      <w:lvlText w:val="%1"/>
      <w:lvlJc w:val="left"/>
      <w:pPr>
        <w:ind w:left="432" w:hanging="432"/>
      </w:pPr>
    </w:lvl>
    <w:lvl w:ilvl="1" w:tentative="0">
      <w:start w:val="1"/>
      <w:numFmt w:val="decimal"/>
      <w:pStyle w:val="4"/>
      <w:lvlText w:val="%1.%2"/>
      <w:lvlJc w:val="left"/>
      <w:pPr>
        <w:ind w:left="576" w:hanging="576"/>
      </w:p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</w:lvl>
  </w:abstractNum>
  <w:abstractNum w:abstractNumId="1">
    <w:nsid w:val="0C4B5103"/>
    <w:multiLevelType w:val="multilevel"/>
    <w:tmpl w:val="0C4B5103"/>
    <w:lvl w:ilvl="0" w:tentative="0">
      <w:start w:val="1"/>
      <w:numFmt w:val="decimal"/>
      <w:pStyle w:val="12"/>
      <w:lvlText w:val="%1."/>
      <w:lvlJc w:val="left"/>
      <w:pPr>
        <w:tabs>
          <w:tab w:val="left" w:pos="936"/>
        </w:tabs>
        <w:ind w:left="936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F61C5D"/>
    <w:multiLevelType w:val="multilevel"/>
    <w:tmpl w:val="79F61C5D"/>
    <w:lvl w:ilvl="0" w:tentative="0">
      <w:start w:val="1"/>
      <w:numFmt w:val="bullet"/>
      <w:pStyle w:val="14"/>
      <w:lvlText w:val=""/>
      <w:lvlJc w:val="left"/>
      <w:pPr>
        <w:tabs>
          <w:tab w:val="left" w:pos="936"/>
        </w:tabs>
        <w:ind w:left="936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435"/>
    <w:rsid w:val="000040BE"/>
    <w:rsid w:val="0000795A"/>
    <w:rsid w:val="00015303"/>
    <w:rsid w:val="000235F0"/>
    <w:rsid w:val="00100564"/>
    <w:rsid w:val="00121DCD"/>
    <w:rsid w:val="00126747"/>
    <w:rsid w:val="001938A6"/>
    <w:rsid w:val="001C4ACF"/>
    <w:rsid w:val="002140B9"/>
    <w:rsid w:val="00221BED"/>
    <w:rsid w:val="00227DF5"/>
    <w:rsid w:val="00236B4C"/>
    <w:rsid w:val="00243233"/>
    <w:rsid w:val="00245BEF"/>
    <w:rsid w:val="002545DF"/>
    <w:rsid w:val="002676BA"/>
    <w:rsid w:val="002A4EA7"/>
    <w:rsid w:val="002C2E05"/>
    <w:rsid w:val="002C632A"/>
    <w:rsid w:val="002D22E0"/>
    <w:rsid w:val="003008EC"/>
    <w:rsid w:val="003112E5"/>
    <w:rsid w:val="00321B7F"/>
    <w:rsid w:val="003659C8"/>
    <w:rsid w:val="00382651"/>
    <w:rsid w:val="00420BE6"/>
    <w:rsid w:val="00440987"/>
    <w:rsid w:val="00480F41"/>
    <w:rsid w:val="004D7509"/>
    <w:rsid w:val="00500C29"/>
    <w:rsid w:val="005133E6"/>
    <w:rsid w:val="005505CB"/>
    <w:rsid w:val="00586E2F"/>
    <w:rsid w:val="005D2B33"/>
    <w:rsid w:val="005F0B1B"/>
    <w:rsid w:val="00614B5B"/>
    <w:rsid w:val="00633D07"/>
    <w:rsid w:val="00637FBC"/>
    <w:rsid w:val="006B147F"/>
    <w:rsid w:val="006B4146"/>
    <w:rsid w:val="006C7E17"/>
    <w:rsid w:val="0075279C"/>
    <w:rsid w:val="008A4EA2"/>
    <w:rsid w:val="008C1AC1"/>
    <w:rsid w:val="00912C8E"/>
    <w:rsid w:val="0096101C"/>
    <w:rsid w:val="00997B35"/>
    <w:rsid w:val="009C4654"/>
    <w:rsid w:val="009D1FCB"/>
    <w:rsid w:val="009E000B"/>
    <w:rsid w:val="009F5E2B"/>
    <w:rsid w:val="00A00EBD"/>
    <w:rsid w:val="00A01D55"/>
    <w:rsid w:val="00A43E14"/>
    <w:rsid w:val="00A81233"/>
    <w:rsid w:val="00A972A1"/>
    <w:rsid w:val="00A97A68"/>
    <w:rsid w:val="00B06A5D"/>
    <w:rsid w:val="00B07E8A"/>
    <w:rsid w:val="00B34B80"/>
    <w:rsid w:val="00B71C13"/>
    <w:rsid w:val="00BB7EBC"/>
    <w:rsid w:val="00BF164E"/>
    <w:rsid w:val="00C34427"/>
    <w:rsid w:val="00C4776B"/>
    <w:rsid w:val="00C52FC2"/>
    <w:rsid w:val="00C563D6"/>
    <w:rsid w:val="00C60089"/>
    <w:rsid w:val="00CC3D68"/>
    <w:rsid w:val="00CE56AB"/>
    <w:rsid w:val="00D15E14"/>
    <w:rsid w:val="00D308C5"/>
    <w:rsid w:val="00D3238B"/>
    <w:rsid w:val="00D4304F"/>
    <w:rsid w:val="00D4522E"/>
    <w:rsid w:val="00D6043B"/>
    <w:rsid w:val="00D62BF0"/>
    <w:rsid w:val="00D651B9"/>
    <w:rsid w:val="00D77B12"/>
    <w:rsid w:val="00DD6697"/>
    <w:rsid w:val="00DE7525"/>
    <w:rsid w:val="00E33304"/>
    <w:rsid w:val="00E53907"/>
    <w:rsid w:val="00EB4435"/>
    <w:rsid w:val="00EB7CF8"/>
    <w:rsid w:val="00EC0F68"/>
    <w:rsid w:val="00EC5313"/>
    <w:rsid w:val="00EE41E5"/>
    <w:rsid w:val="00F40C90"/>
    <w:rsid w:val="00F548A7"/>
    <w:rsid w:val="00F83AFB"/>
    <w:rsid w:val="00FA0E76"/>
    <w:rsid w:val="00FB431B"/>
    <w:rsid w:val="450A0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31" w:semiHidden="0" w:name="List Bullet"/>
    <w:lsdException w:qFormat="1" w:unhideWhenUsed="0" w:uiPriority="32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1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1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iPriority="22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29" w:semiHidden="0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60" w:after="320" w:line="360" w:lineRule="auto"/>
    </w:pPr>
    <w:rPr>
      <w:rFonts w:eastAsia="微软雅黑" w:asciiTheme="minorHAnsi" w:hAnsiTheme="minorHAnsi" w:cstheme="minorBidi"/>
      <w:color w:val="595959" w:themeColor="text1" w:themeTint="A6"/>
      <w:sz w:val="24"/>
      <w:szCs w:val="24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">
    <w:name w:val="heading 1"/>
    <w:basedOn w:val="1"/>
    <w:next w:val="1"/>
    <w:link w:val="44"/>
    <w:qFormat/>
    <w:uiPriority w:val="9"/>
    <w:pPr>
      <w:keepNext/>
      <w:keepLines/>
      <w:numPr>
        <w:ilvl w:val="0"/>
        <w:numId w:val="1"/>
      </w:numPr>
      <w:spacing w:before="240" w:line="240" w:lineRule="auto"/>
      <w:contextualSpacing/>
      <w:outlineLvl w:val="0"/>
    </w:pPr>
    <w:rPr>
      <w:rFonts w:ascii="Times New Roman" w:hAnsi="Times New Roman" w:cstheme="majorBidi"/>
      <w:caps/>
      <w:color w:val="0072C6" w:themeColor="accent1"/>
      <w:spacing w:val="14"/>
      <w:sz w:val="64"/>
      <w:szCs w:val="32"/>
      <w14:textFill>
        <w14:solidFill>
          <w14:schemeClr w14:val="accent1"/>
        </w14:solidFill>
      </w14:textFill>
    </w:rPr>
  </w:style>
  <w:style w:type="paragraph" w:styleId="4">
    <w:name w:val="heading 2"/>
    <w:basedOn w:val="1"/>
    <w:next w:val="1"/>
    <w:link w:val="45"/>
    <w:unhideWhenUsed/>
    <w:qFormat/>
    <w:uiPriority w:val="9"/>
    <w:pPr>
      <w:keepNext/>
      <w:keepLines/>
      <w:numPr>
        <w:ilvl w:val="1"/>
        <w:numId w:val="1"/>
      </w:numPr>
      <w:spacing w:after="200" w:line="240" w:lineRule="auto"/>
      <w:contextualSpacing/>
      <w:outlineLvl w:val="1"/>
    </w:pPr>
    <w:rPr>
      <w:rFonts w:ascii="Times New Roman" w:hAnsi="Times New Roman" w:cstheme="majorBidi"/>
      <w:caps/>
      <w:color w:val="0072C6" w:themeColor="accent1"/>
      <w:spacing w:val="14"/>
      <w:sz w:val="40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64"/>
    <w:unhideWhenUsed/>
    <w:qFormat/>
    <w:uiPriority w:val="9"/>
    <w:pPr>
      <w:keepNext/>
      <w:keepLines/>
      <w:numPr>
        <w:ilvl w:val="2"/>
        <w:numId w:val="1"/>
      </w:numPr>
      <w:spacing w:after="240" w:line="240" w:lineRule="auto"/>
      <w:contextualSpacing/>
      <w:outlineLvl w:val="2"/>
    </w:pPr>
    <w:rPr>
      <w:rFonts w:ascii="Times New Roman" w:hAnsi="Times New Roman" w:cstheme="majorBidi"/>
      <w:color w:val="0072C6" w:themeColor="accent1"/>
      <w:sz w:val="34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77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78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link w:val="65"/>
    <w:semiHidden/>
    <w:unhideWhenUsed/>
    <w:qFormat/>
    <w:uiPriority w:val="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0072C6" w:themeColor="accent1"/>
      <w14:textFill>
        <w14:solidFill>
          <w14:schemeClr w14:val="accent1"/>
        </w14:solidFill>
      </w14:textFill>
    </w:rPr>
  </w:style>
  <w:style w:type="paragraph" w:styleId="9">
    <w:name w:val="heading 7"/>
    <w:basedOn w:val="1"/>
    <w:next w:val="1"/>
    <w:link w:val="50"/>
    <w:semiHidden/>
    <w:unhideWhenUsed/>
    <w:qFormat/>
    <w:uiPriority w:val="9"/>
    <w:pPr>
      <w:keepNext/>
      <w:keepLines/>
      <w:numPr>
        <w:ilvl w:val="6"/>
        <w:numId w:val="1"/>
      </w:numPr>
      <w:spacing w:after="180" w:line="240" w:lineRule="auto"/>
      <w:outlineLvl w:val="6"/>
    </w:pPr>
    <w:rPr>
      <w:rFonts w:asciiTheme="majorHAnsi" w:hAnsiTheme="majorHAnsi" w:eastAsiaTheme="majorEastAsia" w:cstheme="majorBidi"/>
      <w:i/>
      <w:iCs/>
      <w:spacing w:val="14"/>
    </w:rPr>
  </w:style>
  <w:style w:type="paragraph" w:styleId="10">
    <w:name w:val="heading 8"/>
    <w:basedOn w:val="1"/>
    <w:next w:val="1"/>
    <w:link w:val="51"/>
    <w:semiHidden/>
    <w:unhideWhenUsed/>
    <w:qFormat/>
    <w:uiPriority w:val="9"/>
    <w:pPr>
      <w:keepNext/>
      <w:keepLines/>
      <w:numPr>
        <w:ilvl w:val="7"/>
        <w:numId w:val="1"/>
      </w:numPr>
      <w:spacing w:after="180" w:line="240" w:lineRule="auto"/>
      <w:outlineLvl w:val="7"/>
    </w:pPr>
    <w:rPr>
      <w:rFonts w:asciiTheme="majorHAnsi" w:hAnsiTheme="majorHAnsi" w:eastAsiaTheme="majorEastAsia" w:cstheme="majorBidi"/>
      <w:spacing w:val="14"/>
      <w:sz w:val="26"/>
      <w:szCs w:val="21"/>
    </w:rPr>
  </w:style>
  <w:style w:type="paragraph" w:styleId="11">
    <w:name w:val="heading 9"/>
    <w:basedOn w:val="1"/>
    <w:next w:val="1"/>
    <w:link w:val="52"/>
    <w:semiHidden/>
    <w:unhideWhenUsed/>
    <w:qFormat/>
    <w:uiPriority w:val="9"/>
    <w:pPr>
      <w:keepNext/>
      <w:keepLines/>
      <w:numPr>
        <w:ilvl w:val="8"/>
        <w:numId w:val="1"/>
      </w:numPr>
      <w:spacing w:after="180" w:line="240" w:lineRule="auto"/>
      <w:outlineLvl w:val="8"/>
    </w:pPr>
    <w:rPr>
      <w:rFonts w:asciiTheme="majorHAnsi" w:hAnsiTheme="majorHAnsi" w:eastAsiaTheme="majorEastAsia" w:cstheme="majorBidi"/>
      <w:i/>
      <w:iCs/>
      <w:spacing w:val="14"/>
      <w:sz w:val="26"/>
      <w:szCs w:val="21"/>
    </w:rPr>
  </w:style>
  <w:style w:type="character" w:default="1" w:styleId="34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74"/>
    <w:semiHidden/>
    <w:unhideWhenUsed/>
    <w:uiPriority w:val="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60" w:after="0" w:line="360" w:lineRule="auto"/>
    </w:pPr>
    <w:rPr>
      <w:rFonts w:ascii="Consolas" w:hAnsi="Consolas" w:eastAsiaTheme="minorEastAsia" w:cstheme="minorBidi"/>
      <w:color w:val="595959" w:themeColor="text1" w:themeTint="A6"/>
      <w:sz w:val="22"/>
      <w:szCs w:val="20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List Number"/>
    <w:basedOn w:val="1"/>
    <w:qFormat/>
    <w:uiPriority w:val="32"/>
    <w:pPr>
      <w:numPr>
        <w:ilvl w:val="0"/>
        <w:numId w:val="2"/>
      </w:numPr>
      <w:contextualSpacing/>
    </w:pPr>
  </w:style>
  <w:style w:type="paragraph" w:styleId="13">
    <w:name w:val="caption"/>
    <w:basedOn w:val="1"/>
    <w:next w:val="1"/>
    <w:semiHidden/>
    <w:unhideWhenUsed/>
    <w:qFormat/>
    <w:uiPriority w:val="35"/>
    <w:pPr>
      <w:spacing w:after="200" w:line="240" w:lineRule="auto"/>
    </w:pPr>
    <w:rPr>
      <w:i/>
      <w:iCs/>
      <w:sz w:val="22"/>
      <w:szCs w:val="18"/>
    </w:rPr>
  </w:style>
  <w:style w:type="paragraph" w:styleId="14">
    <w:name w:val="List Bullet"/>
    <w:basedOn w:val="1"/>
    <w:qFormat/>
    <w:uiPriority w:val="31"/>
    <w:pPr>
      <w:numPr>
        <w:ilvl w:val="0"/>
        <w:numId w:val="3"/>
      </w:numPr>
      <w:contextualSpacing/>
    </w:pPr>
  </w:style>
  <w:style w:type="paragraph" w:styleId="15">
    <w:name w:val="Document Map"/>
    <w:basedOn w:val="1"/>
    <w:link w:val="70"/>
    <w:semiHidden/>
    <w:unhideWhenUsed/>
    <w:uiPriority w:val="99"/>
    <w:pPr>
      <w:spacing w:before="0" w:after="0" w:line="240" w:lineRule="auto"/>
    </w:pPr>
    <w:rPr>
      <w:rFonts w:ascii="Segoe UI" w:hAnsi="Segoe UI" w:cs="Segoe UI"/>
      <w:sz w:val="22"/>
      <w:szCs w:val="16"/>
    </w:rPr>
  </w:style>
  <w:style w:type="paragraph" w:styleId="16">
    <w:name w:val="annotation text"/>
    <w:basedOn w:val="1"/>
    <w:link w:val="68"/>
    <w:semiHidden/>
    <w:unhideWhenUsed/>
    <w:uiPriority w:val="99"/>
    <w:pPr>
      <w:spacing w:line="240" w:lineRule="auto"/>
    </w:pPr>
    <w:rPr>
      <w:sz w:val="22"/>
      <w:szCs w:val="20"/>
    </w:rPr>
  </w:style>
  <w:style w:type="paragraph" w:styleId="17">
    <w:name w:val="Body Text 3"/>
    <w:basedOn w:val="1"/>
    <w:link w:val="67"/>
    <w:semiHidden/>
    <w:unhideWhenUsed/>
    <w:uiPriority w:val="99"/>
    <w:pPr>
      <w:spacing w:after="120"/>
    </w:pPr>
    <w:rPr>
      <w:sz w:val="22"/>
      <w:szCs w:val="16"/>
    </w:rPr>
  </w:style>
  <w:style w:type="paragraph" w:styleId="18">
    <w:name w:val="Plain Text"/>
    <w:basedOn w:val="1"/>
    <w:link w:val="75"/>
    <w:semiHidden/>
    <w:unhideWhenUsed/>
    <w:uiPriority w:val="99"/>
    <w:pPr>
      <w:spacing w:before="0" w:after="0" w:line="240" w:lineRule="auto"/>
    </w:pPr>
    <w:rPr>
      <w:rFonts w:ascii="Consolas" w:hAnsi="Consolas"/>
      <w:sz w:val="22"/>
      <w:szCs w:val="21"/>
    </w:rPr>
  </w:style>
  <w:style w:type="paragraph" w:styleId="19">
    <w:name w:val="endnote text"/>
    <w:basedOn w:val="1"/>
    <w:link w:val="71"/>
    <w:semiHidden/>
    <w:unhideWhenUsed/>
    <w:uiPriority w:val="99"/>
    <w:pPr>
      <w:spacing w:before="0" w:after="0" w:line="240" w:lineRule="auto"/>
    </w:pPr>
    <w:rPr>
      <w:sz w:val="22"/>
      <w:szCs w:val="20"/>
    </w:rPr>
  </w:style>
  <w:style w:type="paragraph" w:styleId="20">
    <w:name w:val="Balloon Text"/>
    <w:basedOn w:val="1"/>
    <w:link w:val="66"/>
    <w:semiHidden/>
    <w:unhideWhenUsed/>
    <w:uiPriority w:val="99"/>
    <w:pPr>
      <w:spacing w:before="0" w:after="0" w:line="240" w:lineRule="auto"/>
    </w:pPr>
    <w:rPr>
      <w:rFonts w:ascii="Segoe UI" w:hAnsi="Segoe UI" w:cs="Segoe UI"/>
      <w:sz w:val="22"/>
      <w:szCs w:val="18"/>
    </w:rPr>
  </w:style>
  <w:style w:type="paragraph" w:styleId="21">
    <w:name w:val="footer"/>
    <w:basedOn w:val="1"/>
    <w:link w:val="60"/>
    <w:unhideWhenUsed/>
    <w:uiPriority w:val="99"/>
    <w:pPr>
      <w:pBdr>
        <w:top w:val="single" w:color="0072C6" w:themeColor="accent1" w:sz="4" w:space="8"/>
        <w:left w:val="single" w:color="0072C6" w:themeColor="accent1" w:sz="4" w:space="31"/>
        <w:bottom w:val="single" w:color="0072C6" w:themeColor="accent1" w:sz="4" w:space="8"/>
        <w:right w:val="single" w:color="0072C6" w:themeColor="accent1" w:sz="4" w:space="31"/>
      </w:pBdr>
      <w:shd w:val="clear" w:color="auto" w:fill="0072C6" w:themeFill="accent1"/>
      <w:spacing w:before="0" w:after="0" w:line="240" w:lineRule="auto"/>
    </w:pPr>
    <w:rPr>
      <w:color w:val="FFFFFF" w:themeColor="background1"/>
      <w14:textFill>
        <w14:solidFill>
          <w14:schemeClr w14:val="bg1"/>
        </w14:solidFill>
      </w14:textFill>
    </w:rPr>
  </w:style>
  <w:style w:type="paragraph" w:styleId="22">
    <w:name w:val="envelope return"/>
    <w:basedOn w:val="1"/>
    <w:semiHidden/>
    <w:unhideWhenUsed/>
    <w:uiPriority w:val="99"/>
    <w:pPr>
      <w:spacing w:before="0" w:after="0" w:line="240" w:lineRule="auto"/>
    </w:pPr>
    <w:rPr>
      <w:rFonts w:asciiTheme="majorHAnsi" w:hAnsiTheme="majorHAnsi" w:eastAsiaTheme="majorEastAsia" w:cstheme="majorBidi"/>
      <w:sz w:val="22"/>
      <w:szCs w:val="20"/>
    </w:rPr>
  </w:style>
  <w:style w:type="paragraph" w:styleId="23">
    <w:name w:val="header"/>
    <w:basedOn w:val="1"/>
    <w:link w:val="46"/>
    <w:unhideWhenUsed/>
    <w:uiPriority w:val="99"/>
    <w:pPr>
      <w:spacing w:before="0" w:after="0" w:line="240" w:lineRule="auto"/>
    </w:pPr>
  </w:style>
  <w:style w:type="paragraph" w:styleId="24">
    <w:name w:val="toc 1"/>
    <w:basedOn w:val="1"/>
    <w:next w:val="1"/>
    <w:unhideWhenUsed/>
    <w:uiPriority w:val="39"/>
  </w:style>
  <w:style w:type="paragraph" w:styleId="25">
    <w:name w:val="Subtitle"/>
    <w:basedOn w:val="1"/>
    <w:next w:val="1"/>
    <w:link w:val="49"/>
    <w:semiHidden/>
    <w:unhideWhenUsed/>
    <w:qFormat/>
    <w:uiPriority w:val="11"/>
    <w:pPr>
      <w:spacing w:before="0" w:after="720" w:line="240" w:lineRule="auto"/>
      <w:contextualSpacing/>
    </w:pPr>
    <w:rPr>
      <w:caps/>
      <w:sz w:val="40"/>
      <w:szCs w:val="22"/>
    </w:rPr>
  </w:style>
  <w:style w:type="paragraph" w:styleId="26">
    <w:name w:val="footnote text"/>
    <w:basedOn w:val="1"/>
    <w:link w:val="72"/>
    <w:semiHidden/>
    <w:unhideWhenUsed/>
    <w:uiPriority w:val="99"/>
    <w:pPr>
      <w:spacing w:before="0" w:after="0" w:line="240" w:lineRule="auto"/>
    </w:pPr>
    <w:rPr>
      <w:sz w:val="22"/>
      <w:szCs w:val="20"/>
    </w:rPr>
  </w:style>
  <w:style w:type="paragraph" w:styleId="27">
    <w:name w:val="Body Text Indent 3"/>
    <w:basedOn w:val="1"/>
    <w:link w:val="76"/>
    <w:semiHidden/>
    <w:unhideWhenUsed/>
    <w:uiPriority w:val="99"/>
    <w:pPr>
      <w:spacing w:after="120"/>
      <w:ind w:left="360"/>
    </w:pPr>
    <w:rPr>
      <w:sz w:val="22"/>
      <w:szCs w:val="16"/>
    </w:rPr>
  </w:style>
  <w:style w:type="paragraph" w:styleId="28">
    <w:name w:val="toc 2"/>
    <w:basedOn w:val="1"/>
    <w:next w:val="1"/>
    <w:unhideWhenUsed/>
    <w:uiPriority w:val="39"/>
    <w:pPr>
      <w:ind w:left="420" w:leftChars="200"/>
    </w:pPr>
  </w:style>
  <w:style w:type="paragraph" w:styleId="29">
    <w:name w:val="HTML Preformatted"/>
    <w:basedOn w:val="1"/>
    <w:link w:val="73"/>
    <w:semiHidden/>
    <w:unhideWhenUsed/>
    <w:uiPriority w:val="99"/>
    <w:pPr>
      <w:spacing w:before="0" w:after="0" w:line="240" w:lineRule="auto"/>
    </w:pPr>
    <w:rPr>
      <w:rFonts w:ascii="Consolas" w:hAnsi="Consolas"/>
      <w:sz w:val="22"/>
      <w:szCs w:val="20"/>
    </w:rPr>
  </w:style>
  <w:style w:type="paragraph" w:styleId="30">
    <w:name w:val="Title"/>
    <w:basedOn w:val="1"/>
    <w:next w:val="1"/>
    <w:link w:val="43"/>
    <w:semiHidden/>
    <w:unhideWhenUsed/>
    <w:qFormat/>
    <w:uiPriority w:val="10"/>
    <w:pPr>
      <w:spacing w:before="0" w:after="0" w:line="240" w:lineRule="auto"/>
      <w:contextualSpacing/>
    </w:pPr>
    <w:rPr>
      <w:rFonts w:asciiTheme="majorHAnsi" w:hAnsiTheme="majorHAnsi" w:eastAsiaTheme="majorEastAsia" w:cstheme="majorBidi"/>
      <w:caps/>
      <w:color w:val="8A4304" w:themeColor="accent2" w:themeShade="80"/>
      <w:spacing w:val="14"/>
      <w:kern w:val="28"/>
      <w:sz w:val="84"/>
      <w:szCs w:val="56"/>
    </w:rPr>
  </w:style>
  <w:style w:type="paragraph" w:styleId="31">
    <w:name w:val="annotation subject"/>
    <w:basedOn w:val="16"/>
    <w:next w:val="16"/>
    <w:link w:val="69"/>
    <w:semiHidden/>
    <w:unhideWhenUsed/>
    <w:uiPriority w:val="99"/>
    <w:rPr>
      <w:b/>
      <w:bCs/>
    </w:rPr>
  </w:style>
  <w:style w:type="table" w:styleId="33">
    <w:name w:val="Table Grid"/>
    <w:basedOn w:val="32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35">
    <w:name w:val="Strong"/>
    <w:basedOn w:val="34"/>
    <w:semiHidden/>
    <w:unhideWhenUsed/>
    <w:qFormat/>
    <w:uiPriority w:val="22"/>
    <w:rPr>
      <w:b/>
      <w:bCs/>
      <w:color w:val="0072C6" w:themeColor="accent1"/>
      <w14:textFill>
        <w14:solidFill>
          <w14:schemeClr w14:val="accent1"/>
        </w14:solidFill>
      </w14:textFill>
    </w:rPr>
  </w:style>
  <w:style w:type="character" w:styleId="36">
    <w:name w:val="Emphasis"/>
    <w:basedOn w:val="34"/>
    <w:semiHidden/>
    <w:unhideWhenUsed/>
    <w:qFormat/>
    <w:uiPriority w:val="20"/>
    <w:rPr>
      <w:i/>
      <w:iCs/>
      <w:color w:val="8A4304" w:themeColor="accent2" w:themeShade="80"/>
    </w:rPr>
  </w:style>
  <w:style w:type="character" w:styleId="37">
    <w:name w:val="HTML Typewriter"/>
    <w:basedOn w:val="34"/>
    <w:semiHidden/>
    <w:unhideWhenUsed/>
    <w:uiPriority w:val="99"/>
    <w:rPr>
      <w:rFonts w:ascii="Consolas" w:hAnsi="Consolas"/>
      <w:sz w:val="22"/>
      <w:szCs w:val="20"/>
    </w:rPr>
  </w:style>
  <w:style w:type="character" w:styleId="38">
    <w:name w:val="Hyperlink"/>
    <w:basedOn w:val="34"/>
    <w:unhideWhenUsed/>
    <w:uiPriority w:val="99"/>
    <w:rPr>
      <w:color w:val="0072C6" w:themeColor="hyperlink"/>
      <w:u w:val="single"/>
      <w14:textFill>
        <w14:solidFill>
          <w14:schemeClr w14:val="hlink"/>
        </w14:solidFill>
      </w14:textFill>
    </w:rPr>
  </w:style>
  <w:style w:type="character" w:styleId="39">
    <w:name w:val="HTML Code"/>
    <w:basedOn w:val="34"/>
    <w:semiHidden/>
    <w:unhideWhenUsed/>
    <w:uiPriority w:val="99"/>
    <w:rPr>
      <w:rFonts w:ascii="Consolas" w:hAnsi="Consolas"/>
      <w:sz w:val="22"/>
      <w:szCs w:val="20"/>
    </w:rPr>
  </w:style>
  <w:style w:type="character" w:styleId="40">
    <w:name w:val="annotation reference"/>
    <w:basedOn w:val="34"/>
    <w:semiHidden/>
    <w:unhideWhenUsed/>
    <w:uiPriority w:val="99"/>
    <w:rPr>
      <w:sz w:val="22"/>
      <w:szCs w:val="16"/>
    </w:rPr>
  </w:style>
  <w:style w:type="character" w:styleId="41">
    <w:name w:val="HTML Keyboard"/>
    <w:basedOn w:val="34"/>
    <w:semiHidden/>
    <w:unhideWhenUsed/>
    <w:uiPriority w:val="99"/>
    <w:rPr>
      <w:rFonts w:ascii="Consolas" w:hAnsi="Consolas"/>
      <w:sz w:val="22"/>
      <w:szCs w:val="20"/>
    </w:rPr>
  </w:style>
  <w:style w:type="table" w:customStyle="1" w:styleId="42">
    <w:name w:val="List Table 3 Accent 1"/>
    <w:basedOn w:val="32"/>
    <w:uiPriority w:val="48"/>
    <w:pPr>
      <w:spacing w:after="0" w:line="240" w:lineRule="auto"/>
    </w:pPr>
    <w:tblPr>
      <w:tblBorders>
        <w:top w:val="single" w:color="0072C6" w:themeColor="accent1" w:sz="4" w:space="0"/>
        <w:left w:val="single" w:color="0072C6" w:themeColor="accent1" w:sz="4" w:space="0"/>
        <w:bottom w:val="single" w:color="0072C6" w:themeColor="accent1" w:sz="4" w:space="0"/>
        <w:right w:val="single" w:color="0072C6" w:themeColor="accent1" w:sz="4" w:space="0"/>
      </w:tblBorders>
      <w:tblLayout w:type="fixed"/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72C6" w:themeFill="accent1"/>
      </w:tcPr>
    </w:tblStylePr>
    <w:tblStylePr w:type="lastRow">
      <w:rPr>
        <w:b/>
        <w:bCs/>
      </w:rPr>
      <w:tcPr>
        <w:tcBorders>
          <w:top w:val="double" w:color="0072C6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0072C6" w:themeColor="accent1" w:sz="4" w:space="0"/>
          <w:right w:val="single" w:color="0072C6" w:themeColor="accent1" w:sz="4" w:space="0"/>
        </w:tcBorders>
      </w:tcPr>
    </w:tblStylePr>
    <w:tblStylePr w:type="band1Horz">
      <w:tcPr>
        <w:tcBorders>
          <w:top w:val="single" w:color="0072C6" w:themeColor="accent1" w:sz="4" w:space="0"/>
          <w:bottom w:val="single" w:color="0072C6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0072C6" w:themeColor="accent1" w:sz="4" w:space="0"/>
          <w:left w:val="nil"/>
        </w:tcBorders>
      </w:tcPr>
    </w:tblStylePr>
    <w:tblStylePr w:type="swCell">
      <w:tcPr>
        <w:tcBorders>
          <w:top w:val="double" w:color="0072C6" w:themeColor="accent1" w:sz="4" w:space="0"/>
          <w:right w:val="nil"/>
        </w:tcBorders>
      </w:tcPr>
    </w:tblStylePr>
  </w:style>
  <w:style w:type="character" w:customStyle="1" w:styleId="43">
    <w:name w:val="标题 字符"/>
    <w:basedOn w:val="34"/>
    <w:link w:val="30"/>
    <w:semiHidden/>
    <w:uiPriority w:val="10"/>
    <w:rPr>
      <w:rFonts w:asciiTheme="majorHAnsi" w:hAnsiTheme="majorHAnsi" w:eastAsiaTheme="majorEastAsia" w:cstheme="majorBidi"/>
      <w:caps/>
      <w:color w:val="8A4304" w:themeColor="accent2" w:themeShade="80"/>
      <w:spacing w:val="14"/>
      <w:kern w:val="28"/>
      <w:sz w:val="84"/>
      <w:szCs w:val="56"/>
    </w:rPr>
  </w:style>
  <w:style w:type="character" w:customStyle="1" w:styleId="44">
    <w:name w:val="标题 1 字符"/>
    <w:basedOn w:val="34"/>
    <w:link w:val="3"/>
    <w:uiPriority w:val="9"/>
    <w:rPr>
      <w:rFonts w:ascii="Times New Roman" w:hAnsi="Times New Roman" w:eastAsia="微软雅黑" w:cstheme="majorBidi"/>
      <w:caps/>
      <w:color w:val="0072C6" w:themeColor="accent1"/>
      <w:spacing w:val="14"/>
      <w:sz w:val="64"/>
      <w:szCs w:val="32"/>
      <w14:textFill>
        <w14:solidFill>
          <w14:schemeClr w14:val="accent1"/>
        </w14:solidFill>
      </w14:textFill>
    </w:rPr>
  </w:style>
  <w:style w:type="character" w:customStyle="1" w:styleId="45">
    <w:name w:val="标题 2 字符"/>
    <w:basedOn w:val="34"/>
    <w:link w:val="4"/>
    <w:uiPriority w:val="9"/>
    <w:rPr>
      <w:rFonts w:ascii="Times New Roman" w:hAnsi="Times New Roman" w:eastAsia="微软雅黑" w:cstheme="majorBidi"/>
      <w:caps/>
      <w:color w:val="0072C6" w:themeColor="accent1"/>
      <w:spacing w:val="14"/>
      <w:sz w:val="40"/>
      <w:szCs w:val="26"/>
      <w14:textFill>
        <w14:solidFill>
          <w14:schemeClr w14:val="accent1"/>
        </w14:solidFill>
      </w14:textFill>
    </w:rPr>
  </w:style>
  <w:style w:type="character" w:customStyle="1" w:styleId="46">
    <w:name w:val="页眉 字符"/>
    <w:basedOn w:val="34"/>
    <w:link w:val="23"/>
    <w:uiPriority w:val="99"/>
  </w:style>
  <w:style w:type="paragraph" w:styleId="47">
    <w:name w:val="Intense Quote"/>
    <w:basedOn w:val="1"/>
    <w:next w:val="1"/>
    <w:link w:val="63"/>
    <w:semiHidden/>
    <w:unhideWhenUsed/>
    <w:qFormat/>
    <w:uiPriority w:val="30"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8A4304" w:themeColor="accent2" w:themeShade="80"/>
      <w:sz w:val="32"/>
    </w:rPr>
  </w:style>
  <w:style w:type="table" w:customStyle="1" w:styleId="48">
    <w:name w:val="商业单据"/>
    <w:basedOn w:val="32"/>
    <w:uiPriority w:val="99"/>
    <w:pPr>
      <w:spacing w:before="240" w:after="180" w:line="240" w:lineRule="auto"/>
    </w:pPr>
    <w:rPr>
      <w:b/>
    </w:rPr>
    <w:tblPr>
      <w:tblBorders>
        <w:bottom w:val="single" w:color="0072C6" w:themeColor="accent1" w:sz="6" w:space="0"/>
        <w:insideH w:val="single" w:color="0072C6" w:themeColor="accent1" w:sz="6" w:space="0"/>
      </w:tblBorders>
      <w:tblLayout w:type="fixed"/>
      <w:tblCellMar>
        <w:left w:w="230" w:type="dxa"/>
        <w:right w:w="0" w:type="dxa"/>
      </w:tblCellMar>
    </w:tblPr>
    <w:tblStylePr w:type="firstRow">
      <w:pPr>
        <w:wordWrap/>
        <w:spacing w:before="200" w:beforeLines="0" w:beforeAutospacing="0" w:after="160" w:afterLines="0" w:afterAutospacing="0"/>
      </w:pPr>
      <w:rPr>
        <w:b/>
        <w:i w:val="0"/>
        <w:color w:val="FDF9F7" w:themeColor="background2"/>
        <w:sz w:val="28"/>
        <w14:textFill>
          <w14:solidFill>
            <w14:schemeClr w14:val="bg2"/>
          </w14:solidFill>
        </w14:textFill>
      </w:rPr>
      <w:tblPr>
        <w:tblLayout w:type="fixed"/>
      </w:tblPr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="240" w:beforeLines="0" w:beforeAutospacing="0" w:after="180" w:afterLines="0" w:afterAutospacing="0"/>
        <w:jc w:val="right"/>
      </w:pPr>
      <w:rPr>
        <w:rFonts w:asciiTheme="majorHAnsi" w:hAnsiTheme="majorHAnsi"/>
        <w:b w:val="0"/>
        <w:i w:val="0"/>
        <w:color w:val="0072C6" w:themeColor="accent1"/>
        <w:sz w:val="24"/>
        <w14:textFill>
          <w14:solidFill>
            <w14:schemeClr w14:val="accent1"/>
          </w14:solidFill>
        </w14:textFill>
      </w:rPr>
    </w:tblStylePr>
    <w:tblStylePr w:type="nwCell">
      <w:pPr>
        <w:wordWrap/>
        <w:jc w:val="left"/>
      </w:pPr>
    </w:tblStylePr>
  </w:style>
  <w:style w:type="character" w:customStyle="1" w:styleId="49">
    <w:name w:val="副标题 字符"/>
    <w:basedOn w:val="34"/>
    <w:link w:val="25"/>
    <w:semiHidden/>
    <w:uiPriority w:val="11"/>
    <w:rPr>
      <w:rFonts w:eastAsiaTheme="minorEastAsia"/>
      <w:caps/>
      <w:sz w:val="40"/>
      <w:szCs w:val="22"/>
    </w:rPr>
  </w:style>
  <w:style w:type="character" w:customStyle="1" w:styleId="50">
    <w:name w:val="标题 7 字符"/>
    <w:basedOn w:val="34"/>
    <w:link w:val="9"/>
    <w:semiHidden/>
    <w:uiPriority w:val="9"/>
    <w:rPr>
      <w:rFonts w:asciiTheme="majorHAnsi" w:hAnsiTheme="majorHAnsi" w:eastAsiaTheme="majorEastAsia" w:cstheme="majorBidi"/>
      <w:i/>
      <w:iCs/>
      <w:spacing w:val="14"/>
    </w:rPr>
  </w:style>
  <w:style w:type="character" w:customStyle="1" w:styleId="51">
    <w:name w:val="标题 8 字符"/>
    <w:basedOn w:val="34"/>
    <w:link w:val="10"/>
    <w:semiHidden/>
    <w:uiPriority w:val="9"/>
    <w:rPr>
      <w:rFonts w:asciiTheme="majorHAnsi" w:hAnsiTheme="majorHAnsi" w:eastAsiaTheme="majorEastAsia" w:cstheme="majorBidi"/>
      <w:spacing w:val="14"/>
      <w:sz w:val="26"/>
      <w:szCs w:val="21"/>
    </w:rPr>
  </w:style>
  <w:style w:type="character" w:customStyle="1" w:styleId="52">
    <w:name w:val="标题 9 字符"/>
    <w:basedOn w:val="34"/>
    <w:link w:val="11"/>
    <w:semiHidden/>
    <w:uiPriority w:val="9"/>
    <w:rPr>
      <w:rFonts w:asciiTheme="majorHAnsi" w:hAnsiTheme="majorHAnsi" w:eastAsiaTheme="majorEastAsia" w:cstheme="majorBidi"/>
      <w:i/>
      <w:iCs/>
      <w:spacing w:val="14"/>
      <w:sz w:val="26"/>
      <w:szCs w:val="21"/>
    </w:rPr>
  </w:style>
  <w:style w:type="character" w:customStyle="1" w:styleId="53">
    <w:name w:val="Subtle Emphasis"/>
    <w:basedOn w:val="34"/>
    <w:semiHidden/>
    <w:unhideWhenUsed/>
    <w:qFormat/>
    <w:uiPriority w:val="19"/>
    <w:rPr>
      <w:i/>
      <w:iCs/>
      <w:color w:val="0072C6" w:themeColor="accent1"/>
      <w14:textFill>
        <w14:solidFill>
          <w14:schemeClr w14:val="accent1"/>
        </w14:solidFill>
      </w14:textFill>
    </w:rPr>
  </w:style>
  <w:style w:type="character" w:customStyle="1" w:styleId="54">
    <w:name w:val="Intense Emphasis"/>
    <w:basedOn w:val="34"/>
    <w:semiHidden/>
    <w:unhideWhenUsed/>
    <w:qFormat/>
    <w:uiPriority w:val="21"/>
    <w:rPr>
      <w:b/>
      <w:i/>
      <w:iCs/>
      <w:color w:val="8A4304" w:themeColor="accent2" w:themeShade="80"/>
    </w:rPr>
  </w:style>
  <w:style w:type="character" w:customStyle="1" w:styleId="55">
    <w:name w:val="Subtle Reference"/>
    <w:basedOn w:val="34"/>
    <w:semiHidden/>
    <w:unhideWhenUsed/>
    <w:qFormat/>
    <w:uiPriority w:val="31"/>
    <w:rPr>
      <w:i/>
      <w:caps/>
      <w:color w:val="0072C6" w:themeColor="accent1"/>
      <w14:textFill>
        <w14:solidFill>
          <w14:schemeClr w14:val="accent1"/>
        </w14:solidFill>
      </w14:textFill>
    </w:rPr>
  </w:style>
  <w:style w:type="character" w:customStyle="1" w:styleId="56">
    <w:name w:val="Intense Reference"/>
    <w:basedOn w:val="34"/>
    <w:semiHidden/>
    <w:unhideWhenUsed/>
    <w:qFormat/>
    <w:uiPriority w:val="32"/>
    <w:rPr>
      <w:b/>
      <w:bCs/>
      <w:i/>
      <w:caps/>
      <w:color w:val="0072C6" w:themeColor="accent1"/>
      <w:spacing w:val="0"/>
      <w14:textFill>
        <w14:solidFill>
          <w14:schemeClr w14:val="accent1"/>
        </w14:solidFill>
      </w14:textFill>
    </w:rPr>
  </w:style>
  <w:style w:type="character" w:customStyle="1" w:styleId="57">
    <w:name w:val="Book Title"/>
    <w:basedOn w:val="34"/>
    <w:semiHidden/>
    <w:unhideWhenUsed/>
    <w:qFormat/>
    <w:uiPriority w:val="33"/>
    <w:rPr>
      <w:bCs/>
      <w:iCs/>
      <w:color w:val="0072C6" w:themeColor="accent1"/>
      <w:spacing w:val="0"/>
      <w:u w:val="single"/>
      <w14:textFill>
        <w14:solidFill>
          <w14:schemeClr w14:val="accent1"/>
        </w14:solidFill>
      </w14:textFill>
    </w:rPr>
  </w:style>
  <w:style w:type="paragraph" w:customStyle="1" w:styleId="58">
    <w:name w:val="TOC Heading"/>
    <w:basedOn w:val="3"/>
    <w:next w:val="1"/>
    <w:unhideWhenUsed/>
    <w:qFormat/>
    <w:uiPriority w:val="39"/>
    <w:pPr>
      <w:spacing w:after="0" w:line="360" w:lineRule="auto"/>
      <w:outlineLvl w:val="9"/>
    </w:pPr>
    <w:rPr>
      <w:sz w:val="84"/>
    </w:rPr>
  </w:style>
  <w:style w:type="character" w:styleId="59">
    <w:name w:val="Placeholder Text"/>
    <w:basedOn w:val="34"/>
    <w:semiHidden/>
    <w:uiPriority w:val="99"/>
    <w:rPr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60">
    <w:name w:val="页脚 字符"/>
    <w:basedOn w:val="34"/>
    <w:link w:val="21"/>
    <w:uiPriority w:val="99"/>
    <w:rPr>
      <w:color w:val="FFFFFF" w:themeColor="background1"/>
      <w:shd w:val="clear" w:color="auto" w:fill="0072C6" w:themeFill="accent1"/>
      <w14:textFill>
        <w14:solidFill>
          <w14:schemeClr w14:val="bg1"/>
        </w14:solidFill>
      </w14:textFill>
    </w:rPr>
  </w:style>
  <w:style w:type="paragraph" w:styleId="61">
    <w:name w:val="Quote"/>
    <w:basedOn w:val="1"/>
    <w:next w:val="1"/>
    <w:link w:val="62"/>
    <w:unhideWhenUsed/>
    <w:qFormat/>
    <w:uiPriority w:val="29"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0072C6" w:themeColor="accent1"/>
      <w:sz w:val="40"/>
      <w14:textFill>
        <w14:solidFill>
          <w14:schemeClr w14:val="accent1"/>
        </w14:solidFill>
      </w14:textFill>
    </w:rPr>
  </w:style>
  <w:style w:type="character" w:customStyle="1" w:styleId="62">
    <w:name w:val="引用 字符"/>
    <w:basedOn w:val="34"/>
    <w:link w:val="61"/>
    <w:uiPriority w:val="29"/>
    <w:rPr>
      <w:rFonts w:asciiTheme="majorHAnsi" w:hAnsiTheme="majorHAnsi"/>
      <w:i/>
      <w:iCs/>
      <w:color w:val="0072C6" w:themeColor="accent1"/>
      <w:sz w:val="40"/>
      <w14:textFill>
        <w14:solidFill>
          <w14:schemeClr w14:val="accent1"/>
        </w14:solidFill>
      </w14:textFill>
    </w:rPr>
  </w:style>
  <w:style w:type="character" w:customStyle="1" w:styleId="63">
    <w:name w:val="明显引用 字符"/>
    <w:basedOn w:val="34"/>
    <w:link w:val="47"/>
    <w:semiHidden/>
    <w:uiPriority w:val="30"/>
    <w:rPr>
      <w:rFonts w:asciiTheme="majorHAnsi" w:hAnsiTheme="majorHAnsi"/>
      <w:i/>
      <w:iCs/>
      <w:color w:val="8A4304" w:themeColor="accent2" w:themeShade="80"/>
      <w:sz w:val="32"/>
    </w:rPr>
  </w:style>
  <w:style w:type="character" w:customStyle="1" w:styleId="64">
    <w:name w:val="标题 3 字符"/>
    <w:basedOn w:val="34"/>
    <w:link w:val="5"/>
    <w:uiPriority w:val="9"/>
    <w:rPr>
      <w:rFonts w:ascii="Times New Roman" w:hAnsi="Times New Roman" w:eastAsia="微软雅黑" w:cstheme="majorBidi"/>
      <w:color w:val="0072C6" w:themeColor="accent1"/>
      <w:sz w:val="34"/>
      <w14:textFill>
        <w14:solidFill>
          <w14:schemeClr w14:val="accent1"/>
        </w14:solidFill>
      </w14:textFill>
    </w:rPr>
  </w:style>
  <w:style w:type="character" w:customStyle="1" w:styleId="65">
    <w:name w:val="标题 6 字符"/>
    <w:basedOn w:val="34"/>
    <w:link w:val="8"/>
    <w:semiHidden/>
    <w:uiPriority w:val="9"/>
    <w:rPr>
      <w:rFonts w:asciiTheme="majorHAnsi" w:hAnsiTheme="majorHAnsi" w:eastAsiaTheme="majorEastAsia" w:cstheme="majorBidi"/>
      <w:color w:val="0072C6" w:themeColor="accent1"/>
      <w14:textFill>
        <w14:solidFill>
          <w14:schemeClr w14:val="accent1"/>
        </w14:solidFill>
      </w14:textFill>
    </w:rPr>
  </w:style>
  <w:style w:type="character" w:customStyle="1" w:styleId="66">
    <w:name w:val="批注框文本 字符"/>
    <w:basedOn w:val="34"/>
    <w:link w:val="20"/>
    <w:semiHidden/>
    <w:uiPriority w:val="99"/>
    <w:rPr>
      <w:rFonts w:ascii="Segoe UI" w:hAnsi="Segoe UI" w:cs="Segoe UI"/>
      <w:color w:val="595959" w:themeColor="text1" w:themeTint="A6"/>
      <w:sz w:val="22"/>
      <w:szCs w:val="1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67">
    <w:name w:val="正文文本 3 字符"/>
    <w:basedOn w:val="34"/>
    <w:link w:val="17"/>
    <w:semiHidden/>
    <w:uiPriority w:val="99"/>
    <w:rPr>
      <w:color w:val="595959" w:themeColor="text1" w:themeTint="A6"/>
      <w:sz w:val="22"/>
      <w:szCs w:val="1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68">
    <w:name w:val="批注文字 字符"/>
    <w:basedOn w:val="34"/>
    <w:link w:val="16"/>
    <w:semiHidden/>
    <w:uiPriority w:val="99"/>
    <w:rPr>
      <w:color w:val="595959" w:themeColor="text1" w:themeTint="A6"/>
      <w:sz w:val="22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69">
    <w:name w:val="批注主题 字符"/>
    <w:basedOn w:val="68"/>
    <w:link w:val="31"/>
    <w:semiHidden/>
    <w:uiPriority w:val="99"/>
    <w:rPr>
      <w:b/>
      <w:bCs/>
      <w:color w:val="595959" w:themeColor="text1" w:themeTint="A6"/>
      <w:sz w:val="22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70">
    <w:name w:val="文档结构图 字符"/>
    <w:basedOn w:val="34"/>
    <w:link w:val="15"/>
    <w:semiHidden/>
    <w:uiPriority w:val="99"/>
    <w:rPr>
      <w:rFonts w:ascii="Segoe UI" w:hAnsi="Segoe UI" w:cs="Segoe UI"/>
      <w:color w:val="595959" w:themeColor="text1" w:themeTint="A6"/>
      <w:sz w:val="22"/>
      <w:szCs w:val="1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71">
    <w:name w:val="尾注文本 字符"/>
    <w:basedOn w:val="34"/>
    <w:link w:val="19"/>
    <w:semiHidden/>
    <w:uiPriority w:val="99"/>
    <w:rPr>
      <w:color w:val="595959" w:themeColor="text1" w:themeTint="A6"/>
      <w:sz w:val="22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72">
    <w:name w:val="脚注文本 字符"/>
    <w:basedOn w:val="34"/>
    <w:link w:val="26"/>
    <w:semiHidden/>
    <w:uiPriority w:val="99"/>
    <w:rPr>
      <w:color w:val="595959" w:themeColor="text1" w:themeTint="A6"/>
      <w:sz w:val="22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73">
    <w:name w:val="HTML 预设格式 字符"/>
    <w:basedOn w:val="34"/>
    <w:link w:val="29"/>
    <w:semiHidden/>
    <w:uiPriority w:val="99"/>
    <w:rPr>
      <w:rFonts w:ascii="Consolas" w:hAnsi="Consolas"/>
      <w:color w:val="595959" w:themeColor="text1" w:themeTint="A6"/>
      <w:sz w:val="22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74">
    <w:name w:val="宏文本 字符"/>
    <w:basedOn w:val="34"/>
    <w:link w:val="2"/>
    <w:semiHidden/>
    <w:uiPriority w:val="99"/>
    <w:rPr>
      <w:rFonts w:ascii="Consolas" w:hAnsi="Consolas"/>
      <w:color w:val="595959" w:themeColor="text1" w:themeTint="A6"/>
      <w:sz w:val="22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75">
    <w:name w:val="纯文本 字符"/>
    <w:basedOn w:val="34"/>
    <w:link w:val="18"/>
    <w:semiHidden/>
    <w:uiPriority w:val="99"/>
    <w:rPr>
      <w:rFonts w:ascii="Consolas" w:hAnsi="Consolas"/>
      <w:color w:val="595959" w:themeColor="text1" w:themeTint="A6"/>
      <w:sz w:val="22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76">
    <w:name w:val="正文文本缩进 3 字符"/>
    <w:basedOn w:val="34"/>
    <w:link w:val="27"/>
    <w:semiHidden/>
    <w:uiPriority w:val="99"/>
    <w:rPr>
      <w:color w:val="595959" w:themeColor="text1" w:themeTint="A6"/>
      <w:sz w:val="22"/>
      <w:szCs w:val="1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77">
    <w:name w:val="标题 4 字符"/>
    <w:basedOn w:val="34"/>
    <w:link w:val="6"/>
    <w:semiHidden/>
    <w:uiPriority w:val="9"/>
    <w:rPr>
      <w:rFonts w:asciiTheme="majorHAnsi" w:hAnsiTheme="majorHAnsi" w:eastAsiaTheme="majorEastAsia" w:cstheme="majorBidi"/>
      <w:b/>
      <w:bCs/>
      <w:color w:val="595959" w:themeColor="text1" w:themeTint="A6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78">
    <w:name w:val="标题 5 字符"/>
    <w:basedOn w:val="34"/>
    <w:link w:val="7"/>
    <w:semiHidden/>
    <w:uiPriority w:val="9"/>
    <w:rPr>
      <w:rFonts w:eastAsia="微软雅黑"/>
      <w:b/>
      <w:bCs/>
      <w:color w:val="595959" w:themeColor="text1" w:themeTint="A6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canauu\AppData\Roaming\Microsoft\Templates\&#21830;&#19994;&#21333;&#25454;.dotx" TargetMode="External"/></Relationships>
</file>

<file path=word/theme/theme1.xml><?xml version="1.0" encoding="utf-8"?>
<a:theme xmlns:a="http://schemas.openxmlformats.org/drawingml/2006/main" name="Office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9FB128-A730-42FA-B8B2-F99F7330878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商业单据</Template>
  <Pages>16</Pages>
  <Words>483</Words>
  <Characters>2756</Characters>
  <Lines>22</Lines>
  <Paragraphs>6</Paragraphs>
  <TotalTime>110</TotalTime>
  <ScaleCrop>false</ScaleCrop>
  <LinksUpToDate>false</LinksUpToDate>
  <CharactersWithSpaces>3233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2019-02-22T09:44:00Z</dcterms:created>
  <dc:creator>arcanauu</dc:creator>
  <cp:lastModifiedBy>傅梦炀</cp:lastModifiedBy>
  <dcterms:modified xsi:type="dcterms:W3CDTF">2019-03-04T10:20:29Z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